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MÁGICO                    </w:t>
      </w:r>
    </w:p>
    <w:p>
      <w:pPr/>
      <w:r>
        <w:rPr>
          <w:rFonts w:ascii="Arial" w:hAnsi="Arial" w:eastAsia="Arial" w:cs="Arial"/>
          <w:color w:val="light"/>
          <w:sz w:val="22"/>
          <w:szCs w:val="22"/>
          <w:b w:val="0"/>
          <w:bCs w:val="0"/>
        </w:rPr>
        <w:t xml:space="preserve">MTC - 58157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$1296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 Paz, </w:t>
      </w:r>
      <w:r>
        <w:rPr/>
        <w:t xml:space="preserve">Uyuni, </w:t>
      </w:r>
      <w:r>
        <w:rPr/>
        <w:t xml:space="preserve">Desierto Siloli,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1 LA PAZ.</w:t>
      </w:r>
      <w:br/>
      <w:r>
        <w:rPr/>
        <w:t xml:space="preserve">Llegada a la imponente ciudad de La Paz a 3600 msnm, donde nuestro exclusivo guía los estará esperando y explicará el itinerario detallado para que su estadía sea una de las mejores de su vida. Traslado al hotel de la ciudad. Alojamiento.</w:t>
      </w:r>
    </w:p>
    <w:p>
      <w:pPr/>
      <w:r>
        <w:rPr>
          <w:b w:val="1"/>
          <w:bCs w:val="1"/>
        </w:rPr>
        <w:t xml:space="preserve">DIA 2 LA PAZ.</w:t>
      </w:r>
      <w:br/>
      <w:r>
        <w:rPr/>
        <w:t xml:space="preserve">Desayuno en el hotel.  Iniciamos su majestuosa aventura con un viaje de hora y media por una carretera totalmente asfaltada para conocer Tiwanaku “Cuna de la civilización americana”, este sitio arqueológico está entre los más antiguos de las culturas andinas y sus restos sorprenden por su monumentalidad y por la perfección de la técnica constructiva y decorativa. Se visitará los siguientes atractivos: Museos de Tiwanaku y varias ruinas como la Pirámide de Akapana, templo de Kalasasaya, Puerta del Sol,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Templo Puma Punku, también conocido como un taller preinca. Retorno al hotel.  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Killi Killi de donde tienen una vista panorámica de la ciudad de La Paz y la montaña nevada del Illimani, replica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Retorno al hotel para descansar. Alojamiento.</w:t>
      </w:r>
    </w:p>
    <w:p>
      <w:pPr/>
      <w:r>
        <w:rPr>
          <w:b w:val="1"/>
          <w:bCs w:val="1"/>
        </w:rPr>
        <w:t xml:space="preserve">DIA 3 LA PAZ – UYUNI.</w:t>
      </w:r>
      <w:br/>
      <w:r>
        <w:rPr/>
        <w:t xml:space="preserve">Desayuno ligero en el hotel muy temprano. Traslado al aeropuerto para abordar el vuelo domestico (NO incluido) al impresionante Salar de Uyuni.  Llegada y traslado al centro de la ciudad para iniciar el recorrido por una de las maravillas turísticas de Bolivia.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Alojamiento.</w:t>
      </w:r>
    </w:p>
    <w:p>
      <w:pPr/>
      <w:r>
        <w:rPr>
          <w:b w:val="1"/>
          <w:bCs w:val="1"/>
        </w:rPr>
        <w:t xml:space="preserve">DIA 4 UYUNI – DESIERTO.</w:t>
      </w:r>
      <w:br/>
      <w:r>
        <w:rPr/>
        <w:t xml:space="preserve">El tour inicia a las 08:00 a.m. después del desayuno, nos dirigiremos a la ciudad de Uyuni a para visitar el Cementerio de Trenes pasaremos por la comunidad de San Cristóbal, alota llegando al Mirador del Volcán Ollague  (5.865 m.s.n.m.), desde donde podrá observar la actividad fumarólica,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Alojamiento.</w:t>
      </w:r>
    </w:p>
    <w:p>
      <w:pPr/>
      <w:r>
        <w:rPr>
          <w:b w:val="1"/>
          <w:bCs w:val="1"/>
        </w:rPr>
        <w:t xml:space="preserve">DIA 5 DESIERTO – UYUNI.</w:t>
      </w:r>
      <w:br/>
      <w:r>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Alojamiento.</w:t>
      </w:r>
    </w:p>
    <w:p>
      <w:pPr/>
      <w:r>
        <w:rPr>
          <w:b w:val="1"/>
          <w:bCs w:val="1"/>
        </w:rPr>
        <w:t xml:space="preserve">DIA 6 UYUNI – LA PAZ.</w:t>
      </w:r>
      <w:br/>
      <w:r>
        <w:rPr/>
        <w:t xml:space="preserve">Desayuno en el hotel. Traslado al aeropuerto para abordar el vuelo (NO incluido) con destino a la ciudad de La Paz. Llegada y traslado al hotel. Tarde libre para actividades personales. Alojamiento en hotel seleccionado.</w:t>
      </w:r>
    </w:p>
    <w:p>
      <w:pPr/>
      <w:r>
        <w:rPr>
          <w:b w:val="1"/>
          <w:bCs w:val="1"/>
        </w:rPr>
        <w:t xml:space="preserve">DIA 7 LA PAZ.</w:t>
      </w:r>
      <w:br/>
      <w:r>
        <w:rPr/>
        <w:t xml:space="preserve">Desayuno en el hotel. A la hora acordada, traslado hacia el aeropuerto para abordar el vuelo su vuelo internacional.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1.635</w:t>
            </w:r>
          </w:p>
        </w:tc>
        <w:tc>
          <w:tcPr>
            <w:tcW w:w="7800" w:type="dxa"/>
            <w:noWrap/>
          </w:tcPr>
          <w:p>
            <w:pPr>
              <w:jc w:val="start"/>
              <w:spacing w:before="0" w:after="0"/>
            </w:pPr>
            <w:r>
              <w:rPr/>
              <w:t xml:space="preserve">USD 1.296</w:t>
            </w:r>
          </w:p>
        </w:tc>
        <w:tc>
          <w:tcPr>
            <w:tcW w:w="7800" w:type="dxa"/>
            <w:noWrap/>
          </w:tcPr>
          <w:p>
            <w:pPr>
              <w:jc w:val="start"/>
              <w:spacing w:before="0" w:after="0"/>
            </w:pPr>
            <w:r>
              <w:rPr/>
              <w:t xml:space="preserve">USD 2.967</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1.983</w:t>
            </w:r>
          </w:p>
        </w:tc>
        <w:tc>
          <w:tcPr>
            <w:tcW w:w="7800" w:type="dxa"/>
            <w:noWrap/>
          </w:tcPr>
          <w:p>
            <w:pPr>
              <w:jc w:val="start"/>
              <w:spacing w:before="0" w:after="0"/>
            </w:pPr>
            <w:r>
              <w:rPr/>
              <w:t xml:space="preserve">USD 1.644</w:t>
            </w:r>
          </w:p>
        </w:tc>
        <w:tc>
          <w:tcPr>
            <w:tcW w:w="7800" w:type="dxa"/>
            <w:noWrap/>
          </w:tcPr>
          <w:p>
            <w:pPr>
              <w:jc w:val="start"/>
              <w:spacing w:before="0" w:after="0"/>
            </w:pPr>
            <w:r>
              <w:rPr/>
              <w:t xml:space="preserve">USD 3.831</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2.080</w:t>
            </w:r>
          </w:p>
        </w:tc>
        <w:tc>
          <w:tcPr>
            <w:tcW w:w="7800" w:type="dxa"/>
            <w:noWrap/>
          </w:tcPr>
          <w:p>
            <w:pPr>
              <w:jc w:val="start"/>
              <w:spacing w:before="0" w:after="0"/>
            </w:pPr>
            <w:r>
              <w:rPr/>
              <w:t xml:space="preserve">USD 1.741</w:t>
            </w:r>
          </w:p>
        </w:tc>
        <w:tc>
          <w:tcPr>
            <w:tcW w:w="7800" w:type="dxa"/>
            <w:noWrap/>
          </w:tcPr>
          <w:p>
            <w:pPr>
              <w:jc w:val="start"/>
              <w:spacing w:before="0" w:after="0"/>
            </w:pPr>
            <w:r>
              <w:rPr/>
              <w:t xml:space="preserve">USD 3.883</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2.107</w:t>
            </w:r>
          </w:p>
        </w:tc>
        <w:tc>
          <w:tcPr>
            <w:tcW w:w="7800" w:type="dxa"/>
            <w:noWrap/>
          </w:tcPr>
          <w:p>
            <w:pPr>
              <w:jc w:val="start"/>
              <w:spacing w:before="0" w:after="0"/>
            </w:pPr>
            <w:r>
              <w:rPr/>
              <w:t xml:space="preserve">USD 1.768</w:t>
            </w:r>
          </w:p>
        </w:tc>
        <w:tc>
          <w:tcPr>
            <w:tcW w:w="7800" w:type="dxa"/>
            <w:noWrap/>
          </w:tcPr>
          <w:p>
            <w:pPr>
              <w:jc w:val="start"/>
              <w:spacing w:before="0" w:after="0"/>
            </w:pPr>
            <w:r>
              <w:rPr/>
              <w:t xml:space="preserve">USD 3.997</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2.073</w:t>
            </w:r>
          </w:p>
        </w:tc>
        <w:tc>
          <w:tcPr>
            <w:tcW w:w="7800" w:type="dxa"/>
            <w:noWrap/>
          </w:tcPr>
          <w:p>
            <w:pPr>
              <w:jc w:val="start"/>
              <w:spacing w:before="0" w:after="0"/>
            </w:pPr>
            <w:r>
              <w:rPr/>
              <w:t xml:space="preserve">USD 4.608</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LA PAZ</w:t>
            </w:r>
          </w:p>
        </w:tc>
        <w:tc>
          <w:tcPr>
            <w:tcW w:w="7800" w:type="dxa"/>
            <w:shd w:val="clear" w:fill="152441"/>
            <w:noWrap/>
          </w:tcPr>
          <w:p>
            <w:pPr>
              <w:jc w:val="start"/>
              <w:spacing w:before="0" w:after="0"/>
            </w:pPr>
            <w:r>
              <w:rPr>
                <w:color w:val="ffffff"/>
                <w:sz w:val="21"/>
                <w:szCs w:val="21"/>
                <w:b w:val="1"/>
                <w:bCs w:val="1"/>
                <w:shd w:val="clear" w:fill="152441"/>
              </w:rPr>
              <w:t xml:space="preserve">UYUNI</w:t>
            </w:r>
          </w:p>
        </w:tc>
        <w:tc>
          <w:tcPr>
            <w:tcW w:w="7800" w:type="dxa"/>
            <w:shd w:val="clear" w:fill="152441"/>
            <w:noWrap/>
          </w:tcPr>
          <w:p>
            <w:pPr>
              <w:jc w:val="start"/>
              <w:spacing w:before="0" w:after="0"/>
            </w:pPr>
            <w:r>
              <w:rPr>
                <w:color w:val="ffffff"/>
                <w:sz w:val="21"/>
                <w:szCs w:val="21"/>
                <w:b w:val="1"/>
                <w:bCs w:val="1"/>
                <w:shd w:val="clear" w:fill="152441"/>
              </w:rPr>
              <w:t xml:space="preserve">DESIERTO</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Gloria 3 *** / Naira 3 ***</w:t>
            </w:r>
          </w:p>
        </w:tc>
        <w:tc>
          <w:tcPr>
            <w:tcW w:w="7800" w:type="dxa"/>
            <w:noWrap/>
          </w:tcPr>
          <w:p>
            <w:pPr>
              <w:jc w:val="start"/>
              <w:spacing w:before="0" w:after="0"/>
            </w:pPr>
            <w:r>
              <w:rPr/>
              <w:t xml:space="preserve">Cielo  Sal 3 ***</w:t>
            </w:r>
          </w:p>
        </w:tc>
        <w:tc>
          <w:tcPr>
            <w:tcW w:w="7800" w:type="dxa"/>
            <w:noWrap/>
          </w:tcPr>
          <w:p>
            <w:pPr>
              <w:jc w:val="start"/>
              <w:spacing w:before="0" w:after="0"/>
            </w:pPr>
            <w:r>
              <w:rPr/>
              <w:t xml:space="preserve">Tayka del Desierto 3 ***</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Columbus 3 *** S</w:t>
            </w:r>
          </w:p>
        </w:tc>
        <w:tc>
          <w:tcPr>
            <w:tcW w:w="7800" w:type="dxa"/>
            <w:noWrap/>
          </w:tcPr>
          <w:p>
            <w:pPr>
              <w:jc w:val="start"/>
              <w:spacing w:before="0" w:after="0"/>
            </w:pPr>
            <w:r>
              <w:rPr/>
              <w:t xml:space="preserve">Cristal Samaña 3 ***S</w:t>
            </w:r>
          </w:p>
        </w:tc>
        <w:tc>
          <w:tcPr>
            <w:tcW w:w="7800" w:type="dxa"/>
            <w:noWrap/>
          </w:tcPr>
          <w:p>
            <w:pPr>
              <w:jc w:val="start"/>
              <w:spacing w:before="0" w:after="0"/>
            </w:pPr>
            <w:r>
              <w:rPr/>
              <w:t xml:space="preserve">Tayka del Desierto 3 ***</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Almudena 4 ****</w:t>
            </w:r>
          </w:p>
        </w:tc>
        <w:tc>
          <w:tcPr>
            <w:tcW w:w="7800" w:type="dxa"/>
            <w:noWrap/>
          </w:tcPr>
          <w:p>
            <w:pPr>
              <w:jc w:val="start"/>
              <w:spacing w:before="0" w:after="0"/>
            </w:pPr>
            <w:r>
              <w:rPr/>
              <w:t xml:space="preserve">Palacio de Sal 4 ****</w:t>
            </w:r>
          </w:p>
        </w:tc>
        <w:tc>
          <w:tcPr>
            <w:tcW w:w="7800" w:type="dxa"/>
            <w:noWrap/>
          </w:tcPr>
          <w:p>
            <w:pPr>
              <w:jc w:val="start"/>
              <w:spacing w:before="0" w:after="0"/>
            </w:pPr>
            <w:r>
              <w:rPr/>
              <w:t xml:space="preserve">Tayka del Desierto 3 ***</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Ritz 5 *****</w:t>
            </w:r>
          </w:p>
        </w:tc>
        <w:tc>
          <w:tcPr>
            <w:tcW w:w="7800" w:type="dxa"/>
            <w:noWrap/>
          </w:tcPr>
          <w:p>
            <w:pPr>
              <w:jc w:val="start"/>
              <w:spacing w:before="0" w:after="0"/>
            </w:pPr>
            <w:r>
              <w:rPr/>
              <w:t xml:space="preserve">Palacio de Sal 4 ****</w:t>
            </w:r>
          </w:p>
        </w:tc>
        <w:tc>
          <w:tcPr>
            <w:tcW w:w="7800" w:type="dxa"/>
            <w:noWrap/>
          </w:tcPr>
          <w:p>
            <w:pPr>
              <w:jc w:val="start"/>
              <w:spacing w:before="0" w:after="0"/>
            </w:pPr>
            <w:r>
              <w:rPr/>
              <w:t xml:space="preserve">Tayka del Desierto 3 ***</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Suite Camino Real 5 *****</w:t>
            </w:r>
          </w:p>
        </w:tc>
        <w:tc>
          <w:tcPr>
            <w:tcW w:w="7800" w:type="dxa"/>
            <w:noWrap/>
          </w:tcPr>
          <w:p>
            <w:pPr>
              <w:jc w:val="start"/>
              <w:spacing w:before="0" w:after="0"/>
            </w:pPr>
            <w:r>
              <w:rPr/>
              <w:t xml:space="preserve">Palacio de Sal 4 ****</w:t>
            </w:r>
          </w:p>
        </w:tc>
        <w:tc>
          <w:tcPr>
            <w:tcW w:w="7800" w:type="dxa"/>
            <w:noWrap/>
          </w:tcPr>
          <w:p>
            <w:pPr>
              <w:jc w:val="start"/>
              <w:spacing w:before="0" w:after="0"/>
            </w:pPr>
            <w:r>
              <w:rPr/>
              <w:t xml:space="preserve">Tayka del Desierto 3 ***</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La Paz, Uyuni y Desierto.</w:t>
      </w:r>
    </w:p>
    <w:p>
      <w:pPr>
        <w:numPr>
          <w:ilvl w:val="1"/>
          <w:numId w:val="2"/>
        </w:numPr>
      </w:pPr>
      <w:r>
        <w:rPr/>
        <w:t xml:space="preserve">Excursiones mencionadas en el itinerario:</w:t>
      </w:r>
    </w:p>
    <w:p>
      <w:pPr>
        <w:numPr>
          <w:ilvl w:val="1"/>
          <w:numId w:val="2"/>
        </w:numPr>
      </w:pPr>
      <w:r>
        <w:rPr/>
        <w:t xml:space="preserve">Templo Tiwanaku (medio día) en servicio compartido.</w:t>
      </w:r>
    </w:p>
    <w:p>
      <w:pPr>
        <w:numPr>
          <w:ilvl w:val="1"/>
          <w:numId w:val="2"/>
        </w:numPr>
      </w:pPr>
      <w:r>
        <w:rPr/>
        <w:t xml:space="preserve">City Tour La Paz + Valle de la Luna (medio día) en servicio compartido.</w:t>
      </w:r>
    </w:p>
    <w:p>
      <w:pPr>
        <w:numPr>
          <w:ilvl w:val="1"/>
          <w:numId w:val="2"/>
        </w:numPr>
      </w:pPr>
      <w:r>
        <w:rPr/>
        <w:t xml:space="preserve">Programa 3d-2n Salar de Uyuni con Desierto y Laguna de Colores + Almuerzos + Atardecer en el Sala en servicio privado.</w:t>
      </w:r>
    </w:p>
    <w:p>
      <w:pPr>
        <w:numPr>
          <w:ilvl w:val="1"/>
          <w:numId w:val="2"/>
        </w:numPr>
      </w:pPr>
      <w:r>
        <w:rPr/>
        <w:t xml:space="preserve">03 noches de alojamiento en la ciudad de La Paz con desayunos.</w:t>
      </w:r>
    </w:p>
    <w:p>
      <w:pPr>
        <w:numPr>
          <w:ilvl w:val="1"/>
          <w:numId w:val="2"/>
        </w:numPr>
      </w:pPr>
      <w:r>
        <w:rPr/>
        <w:t xml:space="preserve">02 noche de alojamiento en la ciudad de Uyuni con desayuno.</w:t>
      </w:r>
    </w:p>
    <w:p>
      <w:pPr>
        <w:numPr>
          <w:ilvl w:val="1"/>
          <w:numId w:val="2"/>
        </w:numPr>
      </w:pPr>
      <w:r>
        <w:rPr/>
        <w:t xml:space="preserve">01 noche de alojamiento en el desierto con desayuno + cena.</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(La Paz – Uyuni – La Paz).</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Vacuna contra la Fiebre Amarilla en caso de visita: Pando, Beni, Santa Cruz o Cochabamba.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B20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92F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2025-06-07T05:05:11+00:00</dcterms:created>
  <dcterms:modified xsi:type="dcterms:W3CDTF">2025-06-07T05:05:11+00:00</dcterms:modified>
</cp:coreProperties>
</file>

<file path=docProps/custom.xml><?xml version="1.0" encoding="utf-8"?>
<Properties xmlns="http://schemas.openxmlformats.org/officeDocument/2006/custom-properties" xmlns:vt="http://schemas.openxmlformats.org/officeDocument/2006/docPropsVTypes"/>
</file>