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TRIANGULO ARGENTINO                    </w:t>
      </w:r>
    </w:p>
    <w:p>
      <w:pPr/>
      <w:r>
        <w:rPr>
          <w:rFonts w:ascii="Arial" w:hAnsi="Arial" w:eastAsia="Arial" w:cs="Arial"/>
          <w:color w:val="light"/>
          <w:sz w:val="22"/>
          <w:szCs w:val="22"/>
          <w:b w:val="0"/>
          <w:bCs w:val="0"/>
        </w:rPr>
        <w:t xml:space="preserve">MTC - 58108</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$1113</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Argentina,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Buenos Aires, </w:t>
      </w:r>
      <w:r>
        <w:rPr/>
        <w:t xml:space="preserve">El Calafate, </w:t>
      </w:r>
      <w:r>
        <w:rPr/>
        <w:t xml:space="preserve">Puerto Iguazu,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BUENOS AIRES.</w:t>
      </w:r>
      <w:br/>
      <w:r>
        <w:rPr/>
        <w:t xml:space="preserve">Arribo, asistencia y recepción por nuestro personal en el Aeropuerto de Ezeiza y traslado en servicio privado al hotel seleccionado. Resto del día libre</w:t>
      </w:r>
      <w:r>
        <w:rPr>
          <w:b w:val="1"/>
          <w:bCs w:val="1"/>
        </w:rPr>
        <w:t xml:space="preserve">. Alojamiento.</w:t>
      </w:r>
    </w:p>
    <w:p>
      <w:pPr/>
      <w:br/>
      <w:r>
        <w:rPr>
          <w:b w:val="1"/>
          <w:bCs w:val="1"/>
        </w:rPr>
        <w:t xml:space="preserve">DÍA 02 </w:t>
      </w:r>
      <w:br/>
      <w:r>
        <w:rPr>
          <w:b w:val="1"/>
          <w:bCs w:val="1"/>
        </w:rPr>
        <w:t xml:space="preserve">BUENOS AIRES.</w:t>
      </w:r>
      <w:br/>
      <w:r>
        <w:rPr>
          <w:b w:val="1"/>
          <w:bCs w:val="1"/>
        </w:rPr>
        <w:t xml:space="preserve">DESAYUNO.</w:t>
      </w:r>
      <w:r>
        <w:rPr/>
        <w:t xml:space="preserve"> Tour por la ciudad. Disfrute de la Ciudad en una visita guiada por sus principales atractivos. Esta excursión transmite la emoción de un Buenos Aires múltiple. Recorreremos los puntos más importantes de nuestra ciudad. 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La Boca, característico por sus viviendas y por haber sido el primer Puerto de Buenos Aires y centro de la colectividad italiana, en especial la genovesa. Aquí podremos ver desde afuera (no incluye ingreso) el Estadio de Boca Juniors. Posteriormente visitaremos la parte norte de la ciudad que cuenta con grandes Parques y la zona aristocrática de Recoleta y Palermo. Regreso al centro de la ciudad. </w:t>
      </w:r>
      <w:r>
        <w:rPr>
          <w:b w:val="1"/>
          <w:bCs w:val="1"/>
        </w:rPr>
        <w:t xml:space="preserve">Alojamiento.</w:t>
      </w:r>
    </w:p>
    <w:p>
      <w:pPr/>
      <w:br/>
      <w:r>
        <w:rPr>
          <w:b w:val="1"/>
          <w:bCs w:val="1"/>
        </w:rPr>
        <w:t xml:space="preserve">DÍA 03 </w:t>
      </w:r>
      <w:br/>
      <w:r>
        <w:rPr>
          <w:b w:val="1"/>
          <w:bCs w:val="1"/>
        </w:rPr>
        <w:t xml:space="preserve">BUENOS AIRES – CALAFATE.</w:t>
      </w:r>
      <w:br/>
      <w:r>
        <w:rPr>
          <w:b w:val="1"/>
          <w:bCs w:val="1"/>
        </w:rPr>
        <w:t xml:space="preserve">DESAYUNO.</w:t>
      </w:r>
      <w:r>
        <w:rPr/>
        <w:t xml:space="preserve"> A la hora convenida traslado en servicio privado al aeropuerto nacional para embarcar con destino a El Calafate (VUELO NO INCLUIDO). Arribo, asistencia y recepción por nuestro personal en el aeropuerto y traslado en servicio regular al hotel seleccionado.</w:t>
      </w:r>
      <w:r>
        <w:rPr>
          <w:b w:val="1"/>
          <w:bCs w:val="1"/>
        </w:rPr>
        <w:t xml:space="preserve"> Alojamiento.</w:t>
      </w:r>
    </w:p>
    <w:p>
      <w:pPr/>
      <w:br/>
      <w:r>
        <w:rPr>
          <w:b w:val="1"/>
          <w:bCs w:val="1"/>
        </w:rPr>
        <w:t xml:space="preserve">DÍA 04 </w:t>
      </w:r>
      <w:br/>
      <w:r>
        <w:rPr>
          <w:b w:val="1"/>
          <w:bCs w:val="1"/>
        </w:rPr>
        <w:t xml:space="preserve">CALAFATE.</w:t>
      </w:r>
      <w:br/>
      <w:r>
        <w:rPr>
          <w:b w:val="1"/>
          <w:bCs w:val="1"/>
        </w:rPr>
        <w:t xml:space="preserve">DESAYUNO</w:t>
      </w:r>
      <w:r>
        <w:rPr/>
        <w:t xml:space="preserve">. Excursión de día completo al Glaciar Perito Moreno (incluye ingreso P.N) un inmenso río blanco de tonos azulados declarado por la Unesco Patrimonio de la Humanidad en 1982. Desde el Parque Nacional de los Glaciares ingresamos a las pasarelas que están dispuestas en tres niveles desde las cuales podemos observar espectaculares panorámicas del glaciar contemplando los periódicos desprendimientos de su frente. Saliendo del embarcadero Bajos las Sombras, realizaremos el Safari Náutico por el Brazo Rico para apreciar los témpanos de hielos provenientes del Glaciar Perito Moreno. Desde la embarcación realizamos un paseo frente a la pared sur del glaciar a una distancia aproximada de 500. Con la posibilidad de observar desprendimientos del frente glaciar de 60 a 70 m de altura. En esta excursión tenemos la posibilidad de observar con una perspectiva totalmente diferente las impresionantes paredes del Glaciar Perito Moreno y sus derrumbes sobre las aguas del lago.</w:t>
      </w:r>
      <w:r>
        <w:rPr>
          <w:b w:val="1"/>
          <w:bCs w:val="1"/>
        </w:rPr>
        <w:t xml:space="preserve"> Alojamiento.</w:t>
      </w:r>
    </w:p>
    <w:p>
      <w:pPr/>
      <w:br/>
      <w:r>
        <w:rPr>
          <w:b w:val="1"/>
          <w:bCs w:val="1"/>
        </w:rPr>
        <w:t xml:space="preserve">DÍA 05 </w:t>
      </w:r>
      <w:br/>
      <w:r>
        <w:rPr>
          <w:b w:val="1"/>
          <w:bCs w:val="1"/>
        </w:rPr>
        <w:t xml:space="preserve">CALAFATE – BUENOS AIRES - IGUAZÚ.</w:t>
      </w:r>
      <w:br/>
      <w:r>
        <w:rPr>
          <w:b w:val="1"/>
          <w:bCs w:val="1"/>
        </w:rPr>
        <w:t xml:space="preserve">DESAYUNO</w:t>
      </w:r>
      <w:r>
        <w:rPr/>
        <w:t xml:space="preserve">. En horario convenido traslado al aeropuerto para su vuelo a Buenos Aires y conexión a Iguazú </w:t>
      </w:r>
      <w:r>
        <w:rPr>
          <w:b w:val="1"/>
          <w:bCs w:val="1"/>
        </w:rPr>
        <w:t xml:space="preserve">(VUELO NO INCLUIDO). </w:t>
      </w:r>
      <w:r>
        <w:rPr/>
        <w:t xml:space="preserve">Arribo, asistencia y recepción por nuestro personal en el aeropuerto y traslado en servicio regular al hotel seleccionado. </w:t>
      </w:r>
      <w:r>
        <w:rPr>
          <w:b w:val="1"/>
          <w:bCs w:val="1"/>
        </w:rPr>
        <w:t xml:space="preserve">Alojamiento.</w:t>
      </w:r>
    </w:p>
    <w:p>
      <w:pPr/>
      <w:br/>
      <w:r>
        <w:rPr>
          <w:b w:val="1"/>
          <w:bCs w:val="1"/>
        </w:rPr>
        <w:t xml:space="preserve">DÍA 06 </w:t>
      </w:r>
      <w:br/>
      <w:r>
        <w:rPr>
          <w:b w:val="1"/>
          <w:bCs w:val="1"/>
        </w:rPr>
        <w:t xml:space="preserve">IGUAZÚ</w:t>
      </w:r>
      <w:br/>
      <w:r>
        <w:rPr>
          <w:b w:val="1"/>
          <w:bCs w:val="1"/>
        </w:rPr>
        <w:t xml:space="preserve">DESAYUNO. </w:t>
      </w:r>
      <w:r>
        <w:rPr/>
        <w:t xml:space="preserve">Salida para visitar las Cataratas Argentinas (incluye ingresos P.N). Tras tomar el Tren Ecológico, nos adentraremos en las pasarelas superiores e inferiores del Parque Nacional Argentino, aproximándose tanto a las caídas del agua que se pueden prácticamente tocar. Tal magnitud de naturaleza salvaje obtiene su máxima expresión en “La Garganta del Diablo”, donde las tumultuosas aguas forman incontables arco iris. Recomendamos realizar la excursión opcional “La Gran Aventura”, donde los pasajeros de la lancha tendrán un bautizo bajo uno de sus saltos.</w:t>
      </w:r>
      <w:r>
        <w:rPr>
          <w:b w:val="1"/>
          <w:bCs w:val="1"/>
        </w:rPr>
        <w:t xml:space="preserve"> Alojamiento.</w:t>
      </w:r>
    </w:p>
    <w:p>
      <w:pPr/>
      <w:br/>
      <w:r>
        <w:rPr>
          <w:b w:val="1"/>
          <w:bCs w:val="1"/>
        </w:rPr>
        <w:t xml:space="preserve">DÍA 07 </w:t>
      </w:r>
      <w:br/>
      <w:r>
        <w:rPr>
          <w:b w:val="1"/>
          <w:bCs w:val="1"/>
        </w:rPr>
        <w:t xml:space="preserve">IGUAZÚ – BUENOS AIRES</w:t>
      </w:r>
      <w:br/>
      <w:r>
        <w:rPr>
          <w:b w:val="1"/>
          <w:bCs w:val="1"/>
        </w:rPr>
        <w:t xml:space="preserve">DESAYUNO. </w:t>
      </w:r>
      <w:r>
        <w:rPr/>
        <w:t xml:space="preserve">Por la mañana salida para visitar las Cataratas Brasileras (incluye ingreso P.N) una vez que llegamos a la Administración del Parque para recorrer el primer tramo en bus hasta el sendero de las Cataratas. Durante el recorrido un guía especializado nos contara los detalles del ecosistema de la selva. Una vez allí disfrutaremos del contacto con la naturaleza mientras nos acercamos a una de las vistas más impactantes del parque: la Garganta del Diablo. El camino tiene una longitud de 1,2 Km. con varios miradores desde los cuales se aprecian los numerosos saltos que componen las Cataratas. A la hora convenida traslado en servicio regular al aeropuerto para embarcar con destino Buenos Aires (No incluido).  Arribo, asistencia y recepción por nuestro personal en el Aeroparque Jorge Newbery, traslado en servicio privado al hotel seleccionado. Resto del día libre. </w:t>
      </w:r>
      <w:r>
        <w:rPr>
          <w:b w:val="1"/>
          <w:bCs w:val="1"/>
        </w:rPr>
        <w:t xml:space="preserve">Alojamiento</w:t>
      </w:r>
      <w:r>
        <w:rPr/>
        <w:t xml:space="preserve">.</w:t>
      </w:r>
    </w:p>
    <w:p>
      <w:pPr/>
      <w:r>
        <w:rPr>
          <w:b w:val="1"/>
          <w:bCs w:val="1"/>
        </w:rPr>
        <w:t xml:space="preserve">DÍA 08 </w:t>
      </w:r>
      <w:br/>
      <w:r>
        <w:rPr>
          <w:b w:val="1"/>
          <w:bCs w:val="1"/>
        </w:rPr>
        <w:t xml:space="preserve">BUENOS AIRES</w:t>
      </w:r>
      <w:br/>
      <w:r>
        <w:rPr>
          <w:b w:val="1"/>
          <w:bCs w:val="1"/>
        </w:rPr>
        <w:t xml:space="preserve">DESAYUNO</w:t>
      </w:r>
      <w:r>
        <w:rPr/>
        <w:t xml:space="preserve">. A la hora indicada tomaremos el traslado en servicio privado, al aeropuerto internacional de Ezeiza, para tomar vuelo con desatino su lugar de origen.</w:t>
      </w:r>
      <w:r>
        <w:rPr>
          <w:b w:val="1"/>
          <w:bCs w:val="1"/>
        </w:rPr>
        <w:t xml:space="preserve"> FIN DE LOS SERVICIOS</w:t>
      </w:r>
      <w:br/>
      <w:r>
        <w:rPr/>
        <w:t xml:space="preserve"> </w:t>
      </w:r>
      <w:br/>
      <w:r>
        <w:rPr>
          <w:b w:val="1"/>
          <w:bCs w:val="1"/>
        </w:rPr>
        <w:t xml:space="preserve">NOTA: </w:t>
      </w:r>
      <w:r>
        <w:rPr/>
        <w:t xml:space="preserve">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DOLARES AMERICANOS</w:t>
      </w:r>
      <w:br/>
      <w:r>
        <w:rPr>
          <w:b w:val="1"/>
          <w:bCs w:val="1"/>
        </w:rPr>
        <w:t xml:space="preserve">Sujetos a cambios sin previo aviso y disponibilidad al momento de hacer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VIGENCIA DE 01 MAYO AL 30 JUNIO 2025</w:t>
            </w:r>
          </w:p>
          <w:p>
            <w:pPr>
              <w:jc w:val="start"/>
              <w:spacing w:before="0" w:after="0"/>
            </w:pPr>
          </w:p>
        </w:tc>
      </w:tr>
      <w:tr>
        <w:trPr/>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TRIPLE</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1.316</w:t>
            </w:r>
          </w:p>
          <w:p>
            <w:pPr>
              <w:jc w:val="start"/>
              <w:spacing w:before="0" w:after="0"/>
            </w:pPr>
          </w:p>
        </w:tc>
        <w:tc>
          <w:tcPr>
            <w:tcW w:w="7800" w:type="dxa"/>
            <w:noWrap/>
          </w:tcPr>
          <w:p>
            <w:pPr>
              <w:jc w:val="start"/>
              <w:spacing w:before="0" w:after="0"/>
            </w:pPr>
            <w:r>
              <w:rPr/>
              <w:t xml:space="preserve">940</w:t>
            </w:r>
          </w:p>
          <w:p>
            <w:pPr>
              <w:jc w:val="start"/>
              <w:spacing w:before="0" w:after="0"/>
            </w:pPr>
          </w:p>
        </w:tc>
        <w:tc>
          <w:tcPr>
            <w:tcW w:w="7800" w:type="dxa"/>
            <w:noWrap/>
          </w:tcPr>
          <w:p>
            <w:pPr>
              <w:jc w:val="start"/>
              <w:spacing w:before="0" w:after="0"/>
            </w:pPr>
            <w:r>
              <w:rPr/>
              <w:t xml:space="preserve">881</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1.931</w:t>
            </w:r>
          </w:p>
          <w:p>
            <w:pPr>
              <w:jc w:val="start"/>
              <w:spacing w:before="0" w:after="0"/>
            </w:pPr>
          </w:p>
        </w:tc>
        <w:tc>
          <w:tcPr>
            <w:tcW w:w="7800" w:type="dxa"/>
            <w:noWrap/>
          </w:tcPr>
          <w:p>
            <w:pPr>
              <w:jc w:val="start"/>
              <w:spacing w:before="0" w:after="0"/>
            </w:pPr>
            <w:r>
              <w:rPr/>
              <w:t xml:space="preserve">1.208</w:t>
            </w:r>
          </w:p>
          <w:p>
            <w:pPr>
              <w:jc w:val="start"/>
              <w:spacing w:before="0" w:after="0"/>
            </w:pPr>
          </w:p>
        </w:tc>
        <w:tc>
          <w:tcPr>
            <w:tcW w:w="7800" w:type="dxa"/>
            <w:noWrap/>
          </w:tcPr>
          <w:p>
            <w:pPr>
              <w:jc w:val="start"/>
              <w:spacing w:before="0" w:after="0"/>
            </w:pPr>
            <w:r>
              <w:rPr/>
              <w:t xml:space="preserve">1.144</w:t>
            </w:r>
          </w:p>
          <w:p>
            <w:pPr>
              <w:jc w:val="start"/>
              <w:spacing w:before="0" w:after="0"/>
            </w:pPr>
          </w:p>
        </w:tc>
      </w:tr>
    </w:tbl>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VIGENCIA DE 01 JULIO AL 30 SEPTIEMBRE 2025</w:t>
            </w:r>
          </w:p>
          <w:p>
            <w:pPr>
              <w:jc w:val="start"/>
              <w:spacing w:before="0" w:after="0"/>
            </w:pPr>
          </w:p>
        </w:tc>
      </w:tr>
      <w:tr>
        <w:trPr/>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TRIPLE</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1.416</w:t>
            </w:r>
          </w:p>
          <w:p>
            <w:pPr>
              <w:jc w:val="start"/>
              <w:spacing w:before="0" w:after="0"/>
            </w:pPr>
          </w:p>
        </w:tc>
        <w:tc>
          <w:tcPr>
            <w:tcW w:w="7800" w:type="dxa"/>
            <w:noWrap/>
          </w:tcPr>
          <w:p>
            <w:pPr>
              <w:jc w:val="start"/>
              <w:spacing w:before="0" w:after="0"/>
            </w:pPr>
            <w:r>
              <w:rPr/>
              <w:t xml:space="preserve">1.003</w:t>
            </w:r>
          </w:p>
          <w:p>
            <w:pPr>
              <w:jc w:val="start"/>
              <w:spacing w:before="0" w:after="0"/>
            </w:pPr>
          </w:p>
        </w:tc>
        <w:tc>
          <w:tcPr>
            <w:tcW w:w="7800" w:type="dxa"/>
            <w:noWrap/>
          </w:tcPr>
          <w:p>
            <w:pPr>
              <w:jc w:val="start"/>
              <w:spacing w:before="0" w:after="0"/>
            </w:pPr>
            <w:r>
              <w:rPr/>
              <w:t xml:space="preserve">936</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2.032</w:t>
            </w:r>
          </w:p>
          <w:p>
            <w:pPr>
              <w:jc w:val="start"/>
              <w:spacing w:before="0" w:after="0"/>
            </w:pPr>
          </w:p>
        </w:tc>
        <w:tc>
          <w:tcPr>
            <w:tcW w:w="7800" w:type="dxa"/>
            <w:noWrap/>
          </w:tcPr>
          <w:p>
            <w:pPr>
              <w:jc w:val="start"/>
              <w:spacing w:before="0" w:after="0"/>
            </w:pPr>
            <w:r>
              <w:rPr/>
              <w:t xml:space="preserve">1.272</w:t>
            </w:r>
          </w:p>
          <w:p>
            <w:pPr>
              <w:jc w:val="start"/>
              <w:spacing w:before="0" w:after="0"/>
            </w:pPr>
          </w:p>
        </w:tc>
        <w:tc>
          <w:tcPr>
            <w:tcW w:w="7800" w:type="dxa"/>
            <w:noWrap/>
          </w:tcPr>
          <w:p>
            <w:pPr>
              <w:jc w:val="start"/>
              <w:spacing w:before="0" w:after="0"/>
            </w:pPr>
            <w:r>
              <w:rPr/>
              <w:t xml:space="preserve">1.201</w:t>
            </w:r>
          </w:p>
          <w:p>
            <w:pPr>
              <w:jc w:val="start"/>
              <w:spacing w:before="0" w:after="0"/>
            </w:pPr>
          </w:p>
        </w:tc>
      </w:tr>
    </w:tbl>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VIGENCIA DE 01 OCTUBRE AL 30 DICIEMBRE 2025</w:t>
            </w:r>
          </w:p>
          <w:p>
            <w:pPr>
              <w:jc w:val="start"/>
              <w:spacing w:before="0" w:after="0"/>
            </w:pPr>
          </w:p>
        </w:tc>
      </w:tr>
      <w:tr>
        <w:trPr/>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TRIPLE</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1.528</w:t>
            </w:r>
          </w:p>
          <w:p>
            <w:pPr>
              <w:jc w:val="start"/>
              <w:spacing w:before="0" w:after="0"/>
            </w:pPr>
          </w:p>
        </w:tc>
        <w:tc>
          <w:tcPr>
            <w:tcW w:w="7800" w:type="dxa"/>
            <w:noWrap/>
          </w:tcPr>
          <w:p>
            <w:pPr>
              <w:jc w:val="start"/>
              <w:spacing w:before="0" w:after="0"/>
            </w:pPr>
            <w:r>
              <w:rPr/>
              <w:t xml:space="preserve">1.029</w:t>
            </w:r>
          </w:p>
          <w:p>
            <w:pPr>
              <w:jc w:val="start"/>
              <w:spacing w:before="0" w:after="0"/>
            </w:pPr>
          </w:p>
        </w:tc>
        <w:tc>
          <w:tcPr>
            <w:tcW w:w="7800" w:type="dxa"/>
            <w:noWrap/>
          </w:tcPr>
          <w:p>
            <w:pPr>
              <w:jc w:val="start"/>
              <w:spacing w:before="0" w:after="0"/>
            </w:pPr>
            <w:r>
              <w:rPr/>
              <w:t xml:space="preserve">997</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2.167</w:t>
            </w:r>
          </w:p>
          <w:p>
            <w:pPr>
              <w:jc w:val="start"/>
              <w:spacing w:before="0" w:after="0"/>
            </w:pPr>
          </w:p>
        </w:tc>
        <w:tc>
          <w:tcPr>
            <w:tcW w:w="7800" w:type="dxa"/>
            <w:noWrap/>
          </w:tcPr>
          <w:p>
            <w:pPr>
              <w:jc w:val="start"/>
              <w:spacing w:before="0" w:after="0"/>
            </w:pPr>
            <w:r>
              <w:rPr/>
              <w:t xml:space="preserve">1.355</w:t>
            </w:r>
          </w:p>
          <w:p>
            <w:pPr>
              <w:jc w:val="start"/>
              <w:spacing w:before="0" w:after="0"/>
            </w:pPr>
          </w:p>
        </w:tc>
        <w:tc>
          <w:tcPr>
            <w:tcW w:w="7800" w:type="dxa"/>
            <w:noWrap/>
          </w:tcPr>
          <w:p>
            <w:pPr>
              <w:jc w:val="start"/>
              <w:spacing w:before="0" w:after="0"/>
            </w:pPr>
            <w:r>
              <w:rPr/>
              <w:t xml:space="preserve">1.267</w:t>
            </w:r>
          </w:p>
          <w:p>
            <w:pPr>
              <w:jc w:val="start"/>
              <w:spacing w:before="0" w:after="0"/>
            </w:pPr>
          </w:p>
        </w:tc>
      </w:tr>
    </w:tbl>
    <w:p>
      <w:pPr>
        <w:spacing w:before="0" w:after="0"/>
      </w:pPr>
      <w:r>
        <w:rPr>
          <w:b w:val="1"/>
          <w:bCs w:val="1"/>
        </w:rPr>
        <w:t xml:space="preserve">NOTA: </w:t>
      </w:r>
      <w:r>
        <w:rPr/>
        <w:t xml:space="preserve">Los precios publicados en dólares (USD) son referenciales y el pago deberá realizarse en pesos colombianos (COP) a la tasa de cambio interna que haya sido fijada por </w:t>
      </w:r>
      <w:r>
        <w:rPr>
          <w:b w:val="1"/>
          <w:bCs w:val="1"/>
        </w:rPr>
        <w:t xml:space="preserve">MEGA TRAVEL</w:t>
      </w:r>
      <w:r>
        <w:rPr/>
        <w:t xml:space="preserve"> o a la tasa de cambio oficial TRM vigente al momento de la compra.</w:t>
      </w:r>
    </w:p>
    <w:p>
      <w:pPr>
        <w:spacing w:before="0" w:after="0"/>
      </w:pPr>
    </w:p>
    <w:p>
      <w:pPr>
        <w:spacing w:before="0" w:after="0"/>
      </w:pPr>
      <w:r>
        <w:rPr>
          <w:b w:val="1"/>
          <w:bCs w:val="1"/>
        </w:rPr>
        <w:t xml:space="preserve">VISITAS Y EXCURSIONES </w:t>
      </w:r>
      <w:br/>
      <w:br/>
      <w:r>
        <w:rPr/>
        <w:t xml:space="preserve">•    Las visitas o tours sugeridos cuyo valor está descrito en el programa serán ofrecidos por nuestro operador en destino, comprados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Pr>
        <w:spacing w:before="0" w:after="0"/>
      </w:pPr>
      <w:r>
        <w:rPr>
          <w:b w:val="1"/>
          <w:bCs w:val="1"/>
        </w:rPr>
        <w:t xml:space="preserve"> </w:t>
      </w:r>
    </w:p>
    <w:p>
      <w:pPr>
        <w:spacing w:before="0" w:after="0"/>
      </w:pPr>
      <w:r>
        <w:rPr/>
        <w:t xml:space="preserve"> </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BUENOS AIRES</w:t>
            </w:r>
          </w:p>
          <w:p>
            <w:pPr>
              <w:jc w:val="start"/>
              <w:spacing w:before="0" w:after="0"/>
            </w:pPr>
          </w:p>
        </w:tc>
        <w:tc>
          <w:tcPr>
            <w:tcW w:w="7800" w:type="dxa"/>
            <w:noWrap/>
          </w:tcPr>
          <w:p>
            <w:pPr>
              <w:jc w:val="start"/>
              <w:spacing w:before="0" w:after="0"/>
            </w:pPr>
            <w:r>
              <w:rPr/>
              <w:t xml:space="preserve">3*</w:t>
            </w:r>
          </w:p>
          <w:p>
            <w:pPr>
              <w:jc w:val="start"/>
              <w:spacing w:before="0" w:after="0"/>
            </w:pPr>
          </w:p>
          <w:p>
            <w:pPr>
              <w:jc w:val="start"/>
              <w:spacing w:before="0" w:after="0"/>
            </w:pPr>
            <w:r>
              <w:rPr/>
              <w:t xml:space="preserve">4*</w:t>
            </w:r>
          </w:p>
          <w:p>
            <w:pPr>
              <w:jc w:val="start"/>
              <w:spacing w:before="0" w:after="0"/>
            </w:pPr>
          </w:p>
        </w:tc>
        <w:tc>
          <w:tcPr>
            <w:tcW w:w="7800" w:type="dxa"/>
            <w:noWrap/>
          </w:tcPr>
          <w:p>
            <w:pPr>
              <w:jc w:val="start"/>
              <w:spacing w:before="0" w:after="0"/>
            </w:pPr>
            <w:r>
              <w:rPr/>
              <w:t xml:space="preserve">Bue Htl Two</w:t>
            </w:r>
          </w:p>
          <w:p>
            <w:pPr>
              <w:jc w:val="start"/>
              <w:spacing w:before="0" w:after="0"/>
            </w:pPr>
          </w:p>
          <w:p>
            <w:pPr>
              <w:jc w:val="start"/>
              <w:spacing w:before="0" w:after="0"/>
            </w:pPr>
            <w:r>
              <w:rPr/>
              <w:t xml:space="preserve">Bue Htl Nh Florida</w:t>
            </w:r>
          </w:p>
          <w:p>
            <w:pPr>
              <w:jc w:val="start"/>
              <w:spacing w:before="0" w:after="0"/>
            </w:pPr>
          </w:p>
        </w:tc>
      </w:tr>
      <w:tr>
        <w:trPr/>
        <w:tc>
          <w:tcPr>
            <w:tcW w:w="7800" w:type="dxa"/>
            <w:noWrap/>
          </w:tcPr>
          <w:p>
            <w:pPr>
              <w:jc w:val="start"/>
              <w:spacing w:before="0" w:after="0"/>
            </w:pPr>
            <w:r>
              <w:rPr/>
              <w:t xml:space="preserve">IGUAZÚ</w:t>
            </w:r>
          </w:p>
          <w:p>
            <w:pPr>
              <w:jc w:val="start"/>
              <w:spacing w:before="0" w:after="0"/>
            </w:pPr>
          </w:p>
        </w:tc>
        <w:tc>
          <w:tcPr>
            <w:tcW w:w="7800" w:type="dxa"/>
            <w:noWrap/>
          </w:tcPr>
          <w:p>
            <w:pPr>
              <w:jc w:val="start"/>
              <w:spacing w:before="0" w:after="0"/>
            </w:pPr>
            <w:r>
              <w:rPr/>
              <w:t xml:space="preserve">3*</w:t>
            </w:r>
          </w:p>
          <w:p>
            <w:pPr>
              <w:jc w:val="start"/>
              <w:spacing w:before="0" w:after="0"/>
            </w:pPr>
          </w:p>
          <w:p>
            <w:pPr>
              <w:jc w:val="start"/>
              <w:spacing w:before="0" w:after="0"/>
            </w:pPr>
            <w:r>
              <w:rPr/>
              <w:t xml:space="preserve">4*</w:t>
            </w:r>
          </w:p>
          <w:p>
            <w:pPr>
              <w:jc w:val="start"/>
              <w:spacing w:before="0" w:after="0"/>
            </w:pPr>
          </w:p>
        </w:tc>
        <w:tc>
          <w:tcPr>
            <w:tcW w:w="7800" w:type="dxa"/>
            <w:noWrap/>
          </w:tcPr>
          <w:p>
            <w:pPr>
              <w:jc w:val="start"/>
              <w:spacing w:before="0" w:after="0"/>
            </w:pPr>
            <w:r>
              <w:rPr/>
              <w:t xml:space="preserve">Igr Htl Meritt</w:t>
            </w:r>
          </w:p>
          <w:p>
            <w:pPr>
              <w:jc w:val="start"/>
              <w:spacing w:before="0" w:after="0"/>
            </w:pPr>
          </w:p>
          <w:p>
            <w:pPr>
              <w:jc w:val="start"/>
              <w:spacing w:before="0" w:after="0"/>
            </w:pPr>
            <w:r>
              <w:rPr/>
              <w:t xml:space="preserve">Igr Htl Amerian</w:t>
            </w:r>
          </w:p>
          <w:p>
            <w:pPr>
              <w:jc w:val="start"/>
              <w:spacing w:before="0" w:after="0"/>
            </w:pPr>
          </w:p>
        </w:tc>
      </w:tr>
      <w:tr>
        <w:trPr/>
        <w:tc>
          <w:tcPr>
            <w:tcW w:w="7800" w:type="dxa"/>
            <w:noWrap/>
          </w:tcPr>
          <w:p>
            <w:pPr>
              <w:jc w:val="start"/>
              <w:spacing w:before="0" w:after="0"/>
            </w:pPr>
            <w:r>
              <w:rPr/>
              <w:t xml:space="preserve">CALAFATE</w:t>
            </w:r>
          </w:p>
          <w:p>
            <w:pPr>
              <w:jc w:val="start"/>
              <w:spacing w:before="0" w:after="0"/>
            </w:pPr>
          </w:p>
        </w:tc>
        <w:tc>
          <w:tcPr>
            <w:tcW w:w="7800" w:type="dxa"/>
            <w:noWrap/>
          </w:tcPr>
          <w:p>
            <w:pPr>
              <w:jc w:val="start"/>
              <w:spacing w:before="0" w:after="0"/>
            </w:pPr>
            <w:r>
              <w:rPr/>
              <w:t xml:space="preserve">3*</w:t>
            </w:r>
          </w:p>
          <w:p>
            <w:pPr>
              <w:jc w:val="start"/>
              <w:spacing w:before="0" w:after="0"/>
            </w:pPr>
          </w:p>
          <w:p>
            <w:pPr>
              <w:jc w:val="start"/>
              <w:spacing w:before="0" w:after="0"/>
            </w:pPr>
            <w:r>
              <w:rPr/>
              <w:t xml:space="preserve">4*</w:t>
            </w:r>
          </w:p>
          <w:p>
            <w:pPr>
              <w:jc w:val="start"/>
              <w:spacing w:before="0" w:after="0"/>
            </w:pPr>
          </w:p>
        </w:tc>
        <w:tc>
          <w:tcPr>
            <w:tcW w:w="7800" w:type="dxa"/>
            <w:noWrap/>
          </w:tcPr>
          <w:p>
            <w:pPr>
              <w:jc w:val="start"/>
              <w:spacing w:before="0" w:after="0"/>
            </w:pPr>
            <w:r>
              <w:rPr/>
              <w:t xml:space="preserve">Fte Las Dunas</w:t>
            </w:r>
          </w:p>
          <w:p>
            <w:pPr>
              <w:jc w:val="start"/>
              <w:spacing w:before="0" w:after="0"/>
            </w:pPr>
          </w:p>
          <w:p>
            <w:pPr>
              <w:jc w:val="start"/>
              <w:spacing w:before="0" w:after="0"/>
            </w:pPr>
            <w:r>
              <w:rPr/>
              <w:t xml:space="preserve">Fte Alto Calafate</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Bueno Aires.</w:t>
      </w:r>
    </w:p>
    <w:p>
      <w:pPr>
        <w:numPr>
          <w:ilvl w:val="1"/>
          <w:numId w:val="1"/>
        </w:numPr>
      </w:pPr>
      <w:r>
        <w:rPr/>
        <w:t xml:space="preserve">02 noches de alojamiento en Calafate.</w:t>
      </w:r>
    </w:p>
    <w:p>
      <w:pPr>
        <w:numPr>
          <w:ilvl w:val="1"/>
          <w:numId w:val="1"/>
        </w:numPr>
      </w:pPr>
      <w:r>
        <w:rPr/>
        <w:t xml:space="preserve">02 noches de alojamiento en Iguazú.</w:t>
      </w:r>
    </w:p>
    <w:p>
      <w:pPr>
        <w:numPr>
          <w:ilvl w:val="1"/>
          <w:numId w:val="1"/>
        </w:numPr>
      </w:pPr>
      <w:r>
        <w:rPr/>
        <w:t xml:space="preserve">Desayuno diario.</w:t>
      </w:r>
    </w:p>
    <w:p>
      <w:pPr>
        <w:numPr>
          <w:ilvl w:val="1"/>
          <w:numId w:val="1"/>
        </w:numPr>
      </w:pPr>
      <w:r>
        <w:rPr/>
        <w:t xml:space="preserve">Medio día de visita a la ciudad en servicio compartido.</w:t>
      </w:r>
    </w:p>
    <w:p>
      <w:pPr>
        <w:numPr>
          <w:ilvl w:val="1"/>
          <w:numId w:val="1"/>
        </w:numPr>
      </w:pPr>
      <w:r>
        <w:rPr/>
        <w:t xml:space="preserve">Excursión de día completo al Glaciar Perito Moreno con entrada.</w:t>
      </w:r>
    </w:p>
    <w:p>
      <w:pPr>
        <w:numPr>
          <w:ilvl w:val="1"/>
          <w:numId w:val="1"/>
        </w:numPr>
      </w:pPr>
      <w:r>
        <w:rPr/>
        <w:t xml:space="preserve">Navegación Safari Náutico.</w:t>
      </w:r>
    </w:p>
    <w:p>
      <w:pPr>
        <w:numPr>
          <w:ilvl w:val="1"/>
          <w:numId w:val="1"/>
        </w:numPr>
      </w:pPr>
      <w:r>
        <w:rPr/>
        <w:t xml:space="preserve">Excursión de día completo a las Cataratas Argentinas con entradas</w:t>
      </w:r>
    </w:p>
    <w:p>
      <w:pPr>
        <w:numPr>
          <w:ilvl w:val="1"/>
          <w:numId w:val="1"/>
        </w:numPr>
      </w:pPr>
      <w:r>
        <w:rPr/>
        <w:t xml:space="preserve">Medio día de excursión a las Cataratas Brasileras con entradas* (siempre y cuando se cumpla la condición de salida).</w:t>
      </w:r>
    </w:p>
    <w:p>
      <w:pPr>
        <w:numPr>
          <w:ilvl w:val="1"/>
          <w:numId w:val="1"/>
        </w:numPr>
      </w:pPr>
      <w:r>
        <w:rPr/>
        <w:t xml:space="preserve">Visitas en servicio compartido</w:t>
      </w:r>
    </w:p>
    <w:p>
      <w:pPr>
        <w:numPr>
          <w:ilvl w:val="1"/>
          <w:numId w:val="1"/>
        </w:numPr>
      </w:pPr>
      <w:r>
        <w:rPr/>
        <w:t xml:space="preserve">Traslado Aeropuerto – Hotel – Aeropuerto en servicio privado en Buenos Aires y Iguazú en servicio compartido.</w:t>
      </w:r>
    </w:p>
    <w:p>
      <w:pPr>
        <w:numPr>
          <w:ilvl w:val="1"/>
          <w:numId w:val="1"/>
        </w:numPr>
      </w:pPr>
      <w:r>
        <w:rPr/>
        <w:t xml:space="preserve"/>
      </w:r>
    </w:p>
    <w:p>
      <w:pPr>
        <w:numPr>
          <w:ilvl w:val="1"/>
          <w:numId w:val="1"/>
        </w:numPr>
      </w:pPr>
      <w:r>
        <w:rPr/>
        <w:t xml:space="preserve">NOTA: Para incluir Cataratas Brasileñas en servicio compartido el día de salida los pasajeros deben salir en vuelos posteriores a las 16hs.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equipaje, impuestos, tasas y otros cargos. Aprox USD 700 persona con impuestos incluidos.</w:t>
      </w:r>
    </w:p>
    <w:p>
      <w:pPr>
        <w:numPr>
          <w:ilvl w:val="1"/>
          <w:numId w:val="1"/>
        </w:numPr>
      </w:pPr>
      <w:r>
        <w:rPr/>
        <w:t xml:space="preserve">Tasa turística Visit Buenos Aires e Iguazú (Se paga en el destino).</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Tarjeta de asistencia, incrementos: 50% entre los 70 a 74 años y 100% de incremento de 75 años en adelante. No aplica preexistencias. Aplica términos y condiciones.</w:t>
      </w:r>
    </w:p>
    <w:p>
      <w:pPr>
        <w:numPr>
          <w:ilvl w:val="1"/>
          <w:numId w:val="1"/>
        </w:numPr>
      </w:pPr>
      <w:r>
        <w:rPr/>
        <w:t xml:space="preserve">Gastos personales y servicios no especificados.</w:t>
      </w:r>
    </w:p>
    <w:p>
      <w:pPr>
        <w:numPr>
          <w:ilvl w:val="1"/>
          <w:numId w:val="1"/>
        </w:numPr>
      </w:pPr>
      <w:r>
        <w:rPr/>
        <w:t xml:space="preserve">Fee bancario.2% sobre el valor total de la porción terrestre.</w:t>
      </w:r>
    </w:p>
    <w:p>
      <w:pPr>
        <w:numPr>
          <w:ilvl w:val="1"/>
          <w:numId w:val="1"/>
        </w:numPr>
      </w:pPr>
      <w:r>
        <w:rPr/>
        <w:t xml:space="preserve">Gastos personales y servicios no especificados en este programa.</w:t>
      </w:r>
    </w:p>
    <w:p>
      <w:pPr>
        <w:numPr>
          <w:ilvl w:val="1"/>
          <w:numId w:val="1"/>
        </w:numPr>
      </w:pPr>
      <w:r>
        <w:rPr/>
        <w:t xml:space="preserve">Suplemento Tarjeta crédito VISA y MÁSTER CARD con un incremento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56500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2025-07-09T11:50:28+00:00</dcterms:created>
  <dcterms:modified xsi:type="dcterms:W3CDTF">2025-07-09T11:50:28+00:00</dcterms:modified>
</cp:coreProperties>
</file>

<file path=docProps/custom.xml><?xml version="1.0" encoding="utf-8"?>
<Properties xmlns="http://schemas.openxmlformats.org/officeDocument/2006/custom-properties" xmlns:vt="http://schemas.openxmlformats.org/officeDocument/2006/docPropsVTypes"/>
</file>