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TIERRA INCA                    </w:t>
      </w:r>
    </w:p>
    <w:p>
      <w:pPr/>
      <w:r>
        <w:rPr>
          <w:rFonts w:ascii="Arial" w:hAnsi="Arial" w:eastAsia="Arial" w:cs="Arial"/>
          <w:color w:val="light"/>
          <w:sz w:val="22"/>
          <w:szCs w:val="22"/>
          <w:b w:val="0"/>
          <w:bCs w:val="0"/>
        </w:rPr>
        <w:t xml:space="preserve">MTC - 58076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r>
        <w:rPr/>
        <w:t xml:space="preserve">Valle Sagrado de Los Incas,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LIMA</w:t>
      </w:r>
      <w:br/>
      <w:r>
        <w:rPr/>
        <w:t xml:space="preserve">Presentarse con tres horas de anticipación en el aeropuerto para tomar el vuelo hacia la ciudad de </w:t>
      </w:r>
      <w:r>
        <w:rPr>
          <w:b w:val="1"/>
          <w:bCs w:val="1"/>
        </w:rPr>
        <w:t xml:space="preserve">LIMA</w:t>
      </w:r>
      <w:r>
        <w:rPr/>
        <w:t xml:space="preserve">. Llegada a la ciudad de Lima, asistencia y traslado al hotel. </w:t>
      </w:r>
      <w:r>
        <w:rPr>
          <w:b w:val="1"/>
          <w:bCs w:val="1"/>
        </w:rPr>
        <w:t xml:space="preserve">Alojamiento.</w:t>
      </w:r>
      <w:br/>
      <w:b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br/>
      <w:br/>
      <w:r>
        <w:rPr>
          <w:b w:val="1"/>
          <w:bCs w:val="1"/>
        </w:rPr>
        <w:t xml:space="preserve">DÍA 03 </w:t>
      </w:r>
      <w:br/>
      <w:r>
        <w:rPr>
          <w:b w:val="1"/>
          <w:bCs w:val="1"/>
        </w:rPr>
        <w:t xml:space="preserve">LIMA – CUSCO</w:t>
      </w:r>
      <w:br/>
      <w:r>
        <w:rPr>
          <w:b w:val="1"/>
          <w:bCs w:val="1"/>
        </w:rPr>
        <w:t xml:space="preserve">DESAYUNO. </w:t>
      </w:r>
      <w:r>
        <w:rPr/>
        <w:t xml:space="preserve">Traslado al aeropuerto para nuestra salida a Cusco. A la llegada, asistencia y traslado al hotel. Resto de la mañana libre para aclimatarnos. Por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br/>
      <w:br/>
      <w:r>
        <w:rPr>
          <w:b w:val="1"/>
          <w:bCs w:val="1"/>
        </w:rPr>
        <w:t xml:space="preserve">NOTA: </w:t>
      </w:r>
      <w:r>
        <w:rPr/>
        <w:t xml:space="preserve">Se sugiere que los vuelos lleguen a Cusco máximo 11:30am.</w:t>
      </w:r>
      <w:br/>
      <w:br/>
      <w:r>
        <w:rPr>
          <w:b w:val="1"/>
          <w:bCs w:val="1"/>
        </w:rPr>
        <w:t xml:space="preserve">DÍA 04 </w:t>
      </w:r>
      <w:br/>
      <w:r>
        <w:rPr>
          <w:b w:val="1"/>
          <w:bCs w:val="1"/>
        </w:rPr>
        <w:t xml:space="preserve">CUSCO – MACHU PICCHU – CUSCO</w:t>
      </w:r>
      <w:br/>
      <w:r>
        <w:rPr>
          <w:b w:val="1"/>
          <w:bCs w:val="1"/>
        </w:rPr>
        <w:t xml:space="preserve">DESAYUNO.</w:t>
      </w:r>
      <w:r>
        <w:rPr/>
        <w:t xml:space="preserve"> Nos dirigiremos hacia la estación de tren de Poroy u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w:t>
      </w:r>
      <w:r>
        <w:rPr>
          <w:b w:val="1"/>
          <w:bCs w:val="1"/>
        </w:rPr>
        <w:t xml:space="preserve">Alojamiento.</w:t>
      </w:r>
      <w:br/>
      <w:br/>
      <w:r>
        <w:rPr>
          <w:b w:val="1"/>
          <w:bCs w:val="1"/>
        </w:rPr>
        <w:t xml:space="preserve">DÍA 05</w:t>
      </w:r>
      <w:br/>
      <w:r>
        <w:rPr>
          <w:b w:val="1"/>
          <w:bCs w:val="1"/>
        </w:rPr>
        <w:t xml:space="preserve">CUSCO – VALLE SAGRADO – CUSCO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w:t>
      </w:r>
      <w:r>
        <w:rPr>
          <w:b w:val="1"/>
          <w:bCs w:val="1"/>
        </w:rPr>
        <w:t xml:space="preserve">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br/>
      <w:br/>
      <w:r>
        <w:rPr>
          <w:b w:val="1"/>
          <w:bCs w:val="1"/>
        </w:rPr>
        <w:t xml:space="preserve">DÍA 06</w:t>
      </w:r>
      <w:br/>
      <w:r>
        <w:rPr>
          <w:b w:val="1"/>
          <w:bCs w:val="1"/>
        </w:rPr>
        <w:t xml:space="preserve">CUSCO</w:t>
      </w:r>
      <w:br/>
      <w:r>
        <w:rPr>
          <w:b w:val="1"/>
          <w:bCs w:val="1"/>
        </w:rPr>
        <w:t xml:space="preserve">DESAYUNO. </w:t>
      </w:r>
      <w:r>
        <w:rPr/>
        <w:t xml:space="preserve">A la hora indicada traslado al aeropuerto para tomar el vuelo de regreso.</w:t>
      </w:r>
      <w:b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876</w:t>
            </w:r>
          </w:p>
          <w:p>
            <w:pPr>
              <w:jc w:val="start"/>
              <w:spacing w:before="0" w:after="0"/>
            </w:pPr>
          </w:p>
        </w:tc>
        <w:tc>
          <w:tcPr>
            <w:tcW w:w="7800" w:type="dxa"/>
            <w:noWrap/>
          </w:tcPr>
          <w:p>
            <w:pPr>
              <w:jc w:val="start"/>
              <w:spacing w:before="0" w:after="0"/>
            </w:pPr>
            <w:r>
              <w:rPr/>
              <w:t xml:space="preserve">736</w:t>
            </w:r>
          </w:p>
          <w:p>
            <w:pPr>
              <w:jc w:val="start"/>
              <w:spacing w:before="0" w:after="0"/>
            </w:pPr>
          </w:p>
        </w:tc>
        <w:tc>
          <w:tcPr>
            <w:tcW w:w="7800" w:type="dxa"/>
            <w:noWrap/>
          </w:tcPr>
          <w:p>
            <w:pPr>
              <w:jc w:val="start"/>
              <w:spacing w:before="0" w:after="0"/>
            </w:pPr>
            <w:r>
              <w:rPr/>
              <w:t xml:space="preserve">709</w:t>
            </w:r>
          </w:p>
          <w:p>
            <w:pPr>
              <w:jc w:val="start"/>
              <w:spacing w:before="0" w:after="0"/>
            </w:pPr>
          </w:p>
        </w:tc>
        <w:tc>
          <w:tcPr>
            <w:tcW w:w="7800" w:type="dxa"/>
            <w:noWrap/>
          </w:tcPr>
          <w:p>
            <w:pPr>
              <w:jc w:val="start"/>
              <w:spacing w:before="0" w:after="0"/>
            </w:pPr>
            <w:r>
              <w:rPr/>
              <w:t xml:space="preserve">512</w:t>
            </w:r>
          </w:p>
          <w:p>
            <w:pPr>
              <w:jc w:val="start"/>
              <w:spacing w:before="0" w:after="0"/>
            </w:pPr>
          </w:p>
        </w:tc>
        <w:tc>
          <w:tcPr>
            <w:tcW w:w="7800" w:type="dxa"/>
            <w:noWrap/>
          </w:tcPr>
          <w:p>
            <w:pPr>
              <w:jc w:val="start"/>
              <w:spacing w:before="0" w:after="0"/>
            </w:pPr>
            <w:r>
              <w:rPr/>
              <w:t xml:space="preserve">348</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980</w:t>
            </w:r>
          </w:p>
          <w:p>
            <w:pPr>
              <w:jc w:val="start"/>
              <w:spacing w:before="0" w:after="0"/>
            </w:pPr>
          </w:p>
        </w:tc>
        <w:tc>
          <w:tcPr>
            <w:tcW w:w="7800" w:type="dxa"/>
            <w:noWrap/>
          </w:tcPr>
          <w:p>
            <w:pPr>
              <w:jc w:val="start"/>
              <w:spacing w:before="0" w:after="0"/>
            </w:pPr>
            <w:r>
              <w:rPr/>
              <w:t xml:space="preserve">765</w:t>
            </w:r>
          </w:p>
          <w:p>
            <w:pPr>
              <w:jc w:val="start"/>
              <w:spacing w:before="0" w:after="0"/>
            </w:pPr>
          </w:p>
        </w:tc>
        <w:tc>
          <w:tcPr>
            <w:tcW w:w="7800" w:type="dxa"/>
            <w:noWrap/>
          </w:tcPr>
          <w:p>
            <w:pPr>
              <w:jc w:val="start"/>
              <w:spacing w:before="0" w:after="0"/>
            </w:pPr>
            <w:r>
              <w:rPr/>
              <w:t xml:space="preserve">761</w:t>
            </w:r>
          </w:p>
          <w:p>
            <w:pPr>
              <w:jc w:val="start"/>
              <w:spacing w:before="0" w:after="0"/>
            </w:pPr>
          </w:p>
        </w:tc>
        <w:tc>
          <w:tcPr>
            <w:tcW w:w="7800" w:type="dxa"/>
            <w:noWrap/>
          </w:tcPr>
          <w:p>
            <w:pPr>
              <w:jc w:val="start"/>
              <w:spacing w:before="0" w:after="0"/>
            </w:pPr>
            <w:r>
              <w:rPr/>
              <w:t xml:space="preserve">564</w:t>
            </w:r>
          </w:p>
          <w:p>
            <w:pPr>
              <w:jc w:val="start"/>
              <w:spacing w:before="0" w:after="0"/>
            </w:pPr>
          </w:p>
        </w:tc>
        <w:tc>
          <w:tcPr>
            <w:tcW w:w="7800" w:type="dxa"/>
            <w:noWrap/>
          </w:tcPr>
          <w:p>
            <w:pPr>
              <w:jc w:val="start"/>
              <w:spacing w:before="0" w:after="0"/>
            </w:pPr>
            <w:r>
              <w:rPr/>
              <w:t xml:space="preserve">348</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1.056</w:t>
            </w:r>
          </w:p>
          <w:p>
            <w:pPr>
              <w:jc w:val="start"/>
              <w:spacing w:before="0" w:after="0"/>
            </w:pPr>
          </w:p>
        </w:tc>
        <w:tc>
          <w:tcPr>
            <w:tcW w:w="7800" w:type="dxa"/>
            <w:noWrap/>
          </w:tcPr>
          <w:p>
            <w:pPr>
              <w:jc w:val="start"/>
              <w:spacing w:before="0" w:after="0"/>
            </w:pPr>
            <w:r>
              <w:rPr/>
              <w:t xml:space="preserve">804</w:t>
            </w:r>
          </w:p>
          <w:p>
            <w:pPr>
              <w:jc w:val="start"/>
              <w:spacing w:before="0" w:after="0"/>
            </w:pPr>
          </w:p>
        </w:tc>
        <w:tc>
          <w:tcPr>
            <w:tcW w:w="7800" w:type="dxa"/>
            <w:noWrap/>
          </w:tcPr>
          <w:p>
            <w:pPr>
              <w:jc w:val="start"/>
              <w:spacing w:before="0" w:after="0"/>
            </w:pPr>
            <w:r>
              <w:rPr/>
              <w:t xml:space="preserve">792</w:t>
            </w:r>
          </w:p>
          <w:p>
            <w:pPr>
              <w:jc w:val="start"/>
              <w:spacing w:before="0" w:after="0"/>
            </w:pPr>
          </w:p>
        </w:tc>
        <w:tc>
          <w:tcPr>
            <w:tcW w:w="7800" w:type="dxa"/>
            <w:noWrap/>
          </w:tcPr>
          <w:p>
            <w:pPr>
              <w:jc w:val="start"/>
              <w:spacing w:before="0" w:after="0"/>
            </w:pPr>
            <w:r>
              <w:rPr/>
              <w:t xml:space="preserve">595</w:t>
            </w:r>
          </w:p>
          <w:p>
            <w:pPr>
              <w:jc w:val="start"/>
              <w:spacing w:before="0" w:after="0"/>
            </w:pPr>
          </w:p>
        </w:tc>
        <w:tc>
          <w:tcPr>
            <w:tcW w:w="7800" w:type="dxa"/>
            <w:noWrap/>
          </w:tcPr>
          <w:p>
            <w:pPr>
              <w:jc w:val="start"/>
              <w:spacing w:before="0" w:after="0"/>
            </w:pPr>
            <w:r>
              <w:rPr/>
              <w:t xml:space="preserve">348</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1.169</w:t>
            </w:r>
          </w:p>
          <w:p>
            <w:pPr>
              <w:jc w:val="start"/>
              <w:spacing w:before="0" w:after="0"/>
            </w:pPr>
          </w:p>
        </w:tc>
        <w:tc>
          <w:tcPr>
            <w:tcW w:w="7800" w:type="dxa"/>
            <w:noWrap/>
          </w:tcPr>
          <w:p>
            <w:pPr>
              <w:jc w:val="start"/>
              <w:spacing w:before="0" w:after="0"/>
            </w:pPr>
            <w:r>
              <w:rPr/>
              <w:t xml:space="preserve">860</w:t>
            </w:r>
          </w:p>
          <w:p>
            <w:pPr>
              <w:jc w:val="start"/>
              <w:spacing w:before="0" w:after="0"/>
            </w:pPr>
          </w:p>
        </w:tc>
        <w:tc>
          <w:tcPr>
            <w:tcW w:w="7800" w:type="dxa"/>
            <w:noWrap/>
          </w:tcPr>
          <w:p>
            <w:pPr>
              <w:jc w:val="start"/>
              <w:spacing w:before="0" w:after="0"/>
            </w:pPr>
            <w:r>
              <w:rPr/>
              <w:t xml:space="preserve">841</w:t>
            </w:r>
          </w:p>
          <w:p>
            <w:pPr>
              <w:jc w:val="start"/>
              <w:spacing w:before="0" w:after="0"/>
            </w:pPr>
          </w:p>
        </w:tc>
        <w:tc>
          <w:tcPr>
            <w:tcW w:w="7800" w:type="dxa"/>
            <w:noWrap/>
          </w:tcPr>
          <w:p>
            <w:pPr>
              <w:jc w:val="start"/>
              <w:spacing w:before="0" w:after="0"/>
            </w:pPr>
            <w:r>
              <w:rPr/>
              <w:t xml:space="preserve">644</w:t>
            </w:r>
          </w:p>
          <w:p>
            <w:pPr>
              <w:jc w:val="start"/>
              <w:spacing w:before="0" w:after="0"/>
            </w:pPr>
          </w:p>
        </w:tc>
        <w:tc>
          <w:tcPr>
            <w:tcW w:w="7800" w:type="dxa"/>
            <w:noWrap/>
          </w:tcPr>
          <w:p>
            <w:pPr>
              <w:jc w:val="start"/>
              <w:spacing w:before="0" w:after="0"/>
            </w:pPr>
            <w:r>
              <w:rPr/>
              <w:t xml:space="preserve">348</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1.628</w:t>
            </w:r>
          </w:p>
          <w:p>
            <w:pPr>
              <w:jc w:val="start"/>
              <w:spacing w:before="0" w:after="0"/>
            </w:pPr>
          </w:p>
        </w:tc>
        <w:tc>
          <w:tcPr>
            <w:tcW w:w="7800" w:type="dxa"/>
            <w:noWrap/>
          </w:tcPr>
          <w:p>
            <w:pPr>
              <w:jc w:val="start"/>
              <w:spacing w:before="0" w:after="0"/>
            </w:pPr>
            <w:r>
              <w:rPr/>
              <w:t xml:space="preserve">1.091</w:t>
            </w:r>
          </w:p>
          <w:p>
            <w:pPr>
              <w:jc w:val="start"/>
              <w:spacing w:before="0" w:after="0"/>
            </w:pPr>
          </w:p>
        </w:tc>
        <w:tc>
          <w:tcPr>
            <w:tcW w:w="7800" w:type="dxa"/>
            <w:noWrap/>
          </w:tcPr>
          <w:p>
            <w:pPr>
              <w:jc w:val="start"/>
              <w:spacing w:before="0" w:after="0"/>
            </w:pPr>
            <w:r>
              <w:rPr/>
              <w:t xml:space="preserve">1.008</w:t>
            </w:r>
          </w:p>
          <w:p>
            <w:pPr>
              <w:jc w:val="start"/>
              <w:spacing w:before="0" w:after="0"/>
            </w:pPr>
          </w:p>
        </w:tc>
        <w:tc>
          <w:tcPr>
            <w:tcW w:w="7800" w:type="dxa"/>
            <w:noWrap/>
          </w:tcPr>
          <w:p>
            <w:pPr>
              <w:jc w:val="start"/>
              <w:spacing w:before="0" w:after="0"/>
            </w:pPr>
            <w:r>
              <w:rPr/>
              <w:t xml:space="preserve">811</w:t>
            </w:r>
          </w:p>
          <w:p>
            <w:pPr>
              <w:jc w:val="start"/>
              <w:spacing w:before="0" w:after="0"/>
            </w:pPr>
          </w:p>
        </w:tc>
        <w:tc>
          <w:tcPr>
            <w:tcW w:w="7800" w:type="dxa"/>
            <w:noWrap/>
          </w:tcPr>
          <w:p>
            <w:pPr>
              <w:jc w:val="start"/>
              <w:spacing w:before="0" w:after="0"/>
            </w:pPr>
            <w:r>
              <w:rPr/>
              <w:t xml:space="preserve">348</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w:t>
      </w:r>
      <w:r>
        <w:rPr>
          <w:b w:val="1"/>
          <w:bCs w:val="1"/>
        </w:rPr>
        <w:t xml:space="preserve">MEGA TRAVEL SAS</w:t>
      </w:r>
      <w:r>
        <w:rPr/>
        <w:t xml:space="preserve"> 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05 noches de alojamiento en los hoteles mencionados.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Medio día visita a la ciudad de Cusco y ruinas aledañas en servicio compartido con entradas.</w:t>
      </w:r>
    </w:p>
    <w:p>
      <w:pPr>
        <w:numPr>
          <w:ilvl w:val="1"/>
          <w:numId w:val="1"/>
        </w:numPr>
      </w:pPr>
      <w:r>
        <w:rPr/>
        <w:t xml:space="preserve">Día completo a Valle Sangrado de los incas con almuerzo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13C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2025-05-12T03:10:55+00:00</dcterms:created>
  <dcterms:modified xsi:type="dcterms:W3CDTF">2025-05-12T03:10:55+00:00</dcterms:modified>
</cp:coreProperties>
</file>

<file path=docProps/custom.xml><?xml version="1.0" encoding="utf-8"?>
<Properties xmlns="http://schemas.openxmlformats.org/officeDocument/2006/custom-properties" xmlns:vt="http://schemas.openxmlformats.org/officeDocument/2006/docPropsVTypes"/>
</file>