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VACACIONES EN PUNTA CANA                    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MTC - 51734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4 Días y 3 Noches</w:t>
      </w:r>
    </w:p>
    <w:p/>
    <w:p/>
    <w:p>
      <w:pPr>
        <w:jc w:val="center"/>
        <w:spacing w:before="450"/>
      </w:pPr>
      <w:r>
        <w:rPr>
          <w:sz w:val="40.5"/>
          <w:szCs w:val="40.5"/>
        </w:rPr>
        <w:t xml:space="preserve">Desde $203</w:t>
      </w:r>
      <w:r>
        <w:rPr>
          <w:sz w:val="22.5"/>
          <w:szCs w:val="22.5"/>
          <w:vertAlign w:val="subscript"/>
        </w:rPr>
        <w:t xml:space="preserve">USD</w:t>
      </w:r>
      <w:r>
        <w:rPr>
          <w:sz w:val="40.5"/>
          <w:szCs w:val="40.5"/>
        </w:rPr>
        <w:t xml:space="preserve"> |  + 0 IMP 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jc w:val="end"/>
      </w:pPr>
      <w:r>
        <w:rPr>
          <w:b w:val="1"/>
          <w:bCs w:val="1"/>
        </w:rPr>
        <w:t xml:space="preserve">Solo Terrestre</w:t>
      </w:r>
    </w:p>
    <w:tbl>
      <w:tblGrid>
        <w:gridCol/>
      </w:tblGrid>
      <w:tblPr>
        <w:jc w:val="end"/>
        <w:tblW w:w="0" w:type="auto"/>
        <w:tblLayout w:type="autofit"/>
      </w:tblPr>
      <w:tr>
        <w:trPr/>
        <w:tc>
          <w:tcPr>
            <w:noWrap/>
          </w:tcPr>
          <w:p>
            <w:pPr/>
            <w:r>
              <w:pict>
                <v:shape type="#_x0000_t75" stroked="f" style="width:130px; height:38.235294117647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SALIDAS ESPECIFICAS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5000" w:type="dxa"/>
        <w:gridCol w:w="5000" w:type="dxa"/>
      </w:tblGrid>
      <w:tblPr>
        <w:jc w:val="center"/>
        <w:tblW w:w="5000" w:type="pct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Salida                                </w:t>
            </w:r>
          </w:p>
        </w:tc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Llegada                                </w:t>
            </w:r>
          </w:p>
        </w:tc>
      </w:tr>
    </w:tbl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PAISES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República Dominicana,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Punta Cana,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ITINERARIO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>
          <w:b w:val="1"/>
          <w:bCs w:val="1"/>
        </w:rPr>
        <w:t xml:space="preserve">“Este itinerario puede tener modificaciones dependiendo la cantidad de noches seleccionadas o noches extras que se le quieran adicionar. Itinerario de carácter referencial no hace referencia a servicios incluidos”</w:t>
      </w:r>
    </w:p>
    <w:p>
      <w:pPr/>
      <w:r>
        <w:rPr>
          <w:b w:val="1"/>
          <w:bCs w:val="1"/>
        </w:rPr>
        <w:t xml:space="preserve">DÍA 01    PUNTA CANA</w:t>
      </w:r>
      <w:br/>
      <w:r>
        <w:rPr/>
        <w:t xml:space="preserve">Recepción en el aeropuerto y traslado al Hotel Seleccionado. Alojamiento</w:t>
      </w:r>
    </w:p>
    <w:p>
      <w:pPr/>
      <w:r>
        <w:rPr>
          <w:b w:val="1"/>
          <w:bCs w:val="1"/>
        </w:rPr>
        <w:t xml:space="preserve">DIA 02 PUNTA CANA</w:t>
      </w:r>
      <w:br/>
      <w:r>
        <w:rPr/>
        <w:t xml:space="preserve">Régimen de Todo incluido en el hotel. Día libre para realizar actividades personales y disfrutar de las maravillosas playas. Alojamiento en el hotel seleccionado.</w:t>
      </w:r>
    </w:p>
    <w:p>
      <w:pPr/>
      <w:r>
        <w:rPr>
          <w:b w:val="1"/>
          <w:bCs w:val="1"/>
        </w:rPr>
        <w:t xml:space="preserve">DIA 03 PUNTA CANA</w:t>
      </w:r>
      <w:br/>
      <w:r>
        <w:rPr/>
        <w:t xml:space="preserve">Régimen de Todo incluido en el hotel. Día libre para realizar actividades personales y disfrutar de las maravillosas playas. Alojamiento en el hotel seleccionado.</w:t>
      </w:r>
    </w:p>
    <w:p>
      <w:pPr/>
      <w:r>
        <w:rPr>
          <w:b w:val="1"/>
          <w:bCs w:val="1"/>
        </w:rPr>
        <w:t xml:space="preserve">DIA 04 PUNTA CANA – BOGOTA</w:t>
      </w:r>
      <w:br/>
      <w:r>
        <w:rPr/>
        <w:t xml:space="preserve">Desayuno en el hotel. A la hora indicada traslado al Aeropuerto para tomar el vuelo de regreso.</w:t>
      </w:r>
    </w:p>
    <w:p>
      <w:pPr/>
      <w:r>
        <w:rPr>
          <w:b w:val="1"/>
          <w:bCs w:val="1"/>
        </w:rPr>
        <w:t xml:space="preserve">¡PREGUNTA POR NUESTROS TOURS OPCIONALES!</w:t>
      </w:r>
    </w:p>
    <w:p>
      <w:pPr/>
      <w:r>
        <w:rPr>
          <w:b w:val="1"/>
          <w:bCs w:val="1"/>
        </w:rPr>
        <w:t xml:space="preserve">Fín de nuestros servicios.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PRECIOS EN DOLARES AMERICANOS POR PERSONA</w:t>
            </w:r>
            <w:r>
              <w:rPr>
                <w:color w:val="ffffff"/>
                <w:sz w:val="21"/>
                <w:szCs w:val="21"/>
                <w:b w:val="0"/>
                <w:bCs w:val="0"/>
                <w:shd w:val="clear" w:fill="152441"/>
              </w:rPr>
              <w:t xml:space="preserve"> SUJETOS A CAMBIOS SIN PREVIO AVISO Y DISPONIBILIDAD AL MOMENTO DE LA RESERVA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HOTEL WHALA BAVARO </w:t>
            </w:r>
          </w:p>
          <w:p>
            <w:pPr>
              <w:jc w:val="start"/>
              <w:spacing w:before="0" w:after="0"/>
            </w:pPr>
            <w:r>
              <w:rPr/>
              <w:t xml:space="preserve">Hab. Standard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VIGENCIA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NIÑOS (7-11 AÑOS)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03 ENE – 15 ENE 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329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299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618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181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92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191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16 ENE – 31 MAR / 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363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753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216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125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113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236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ABR – 30 ABR 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276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251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516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154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157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MAY – 30 JUN/2025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222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415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128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123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32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JUL – 31 AGO/2025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267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243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150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151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SEP – 31 OCT/2025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222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415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128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123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32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Ofertas Vigentes para reservar antes de 30 ENERO de 2025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Niños de 2 a 6 años gratis en alojamiento y alimentación – (solo pagan servicios)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Estancia mínima de cuatro (4) noches para Semana Santa (16 – 20 abril, 2025) en todas las categorías de habitación.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</w:t>
            </w:r>
            <w:r>
              <w:rPr/>
              <w:t xml:space="preserve"> Esta tarifa aplica para pago en pesos colombianos a la TRM del día de cada depósito, según la liquidación enviada. Nota*** Estos precios aplican para pagos en efectivo o transferencia.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HABITACIÓN TRIPLE: </w:t>
            </w:r>
            <w:r>
              <w:rPr/>
              <w:t xml:space="preserve">Consta de 1 o 2 camas. Se dejará la observación de acuerdo a la solicitud del cliente, pero no se garantiza, ya que está sujeto a la disponibilidad del hotel.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POLITICA DE MENORES</w:t>
            </w:r>
            <w:r>
              <w:rPr/>
              <w:t xml:space="preserve">: tarifa aplica para 1 niño entre 7 y 11,99 años acompañado de 2 adultos, niños adicionales se debe consultar la tarifa.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OCCIDENTAL CARIBE </w:t>
            </w:r>
          </w:p>
          <w:p>
            <w:pPr>
              <w:jc w:val="start"/>
              <w:spacing w:before="0" w:after="0"/>
            </w:pPr>
            <w:r>
              <w:rPr/>
              <w:t xml:space="preserve">Hab. Standard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VIGENCIA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NIÑOS (2-11)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02 ENE – 31 ENE 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364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331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648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113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39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FEB – 28 FEB/2025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376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343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668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208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117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MAR – 20 ABR/2025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432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392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768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236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135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122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241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46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21 ABR – 30 ABR/2025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296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271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524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168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90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159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MAY – 30 JUN/2025 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284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259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504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160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153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30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Ofertas Vigentes para reservar antes de 15 ENERO de 2025</w:t>
            </w:r>
          </w:p>
          <w:p>
            <w:pPr>
              <w:numPr>
                <w:ilvl w:val="0"/>
                <w:numId w:val="2"/>
              </w:numPr>
            </w:pPr>
            <w:r>
              <w:rPr/>
              <w:t xml:space="preserve">Estancia mínima de cuatro (4) noches para Semana Santa (16 – 20 abril, 2025) en todas las categorías de habitación.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</w:t>
            </w:r>
            <w:r>
              <w:rPr/>
              <w:t xml:space="preserve"> Esta tarifa aplica para pago en pesos colombianos a la TRM del día de cada depósito, según la liquidación enviada. Nota*** Estos precios aplican para pagos en efectivo o transferencia.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HABITACIÓN TRIPLE: </w:t>
            </w:r>
            <w:r>
              <w:rPr/>
              <w:t xml:space="preserve">Consta de 1 o 2 camas. Se dejará la observación de acuerdo a la solicitud del cliente, pero no se garantiza, ya que está sujeto a la disponibilidad del hotel.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POLITICA DE MENORES</w:t>
            </w:r>
            <w:r>
              <w:rPr/>
              <w:t xml:space="preserve">: tarifa aplica para 1 niño entre 2 y 11,99 años acompañado de 2 adultos, niños adicionales se debe consultar la tarifa.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CARIBE DELUXE PRINCESS</w:t>
            </w:r>
            <w:r>
              <w:rPr/>
              <w:t xml:space="preserve">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TROPICAL DELUXE PRINCESS </w:t>
            </w:r>
          </w:p>
          <w:p>
            <w:pPr>
              <w:jc w:val="start"/>
              <w:spacing w:before="0" w:after="0"/>
            </w:pPr>
            <w:r>
              <w:rPr/>
              <w:t xml:space="preserve">Hab. Standard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VIGENCIA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NIÑOS (3-11)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02 ENE – 31 ENE/2025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557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514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647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324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180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162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99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FEB – 20 ABR/2025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605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558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711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300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197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177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224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91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21 ABR – 30JUN/2025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359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332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447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270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113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137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JUL – 31 AGO/2025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366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339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455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273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116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140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82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SEP – 31 OCT/2025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355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328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444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276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112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136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83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Ofertas Vigentes para reservar antes de 30 ENERO de 2025</w:t>
            </w:r>
          </w:p>
          <w:p>
            <w:pPr>
              <w:numPr>
                <w:ilvl w:val="0"/>
                <w:numId w:val="3"/>
              </w:numPr>
            </w:pPr>
            <w:r>
              <w:rPr/>
              <w:t xml:space="preserve">Estancia mínima de cuatro (4) noches para Semana Santa (16 – 20 abril, 2025) en todas las categorías de habitación.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</w:t>
            </w:r>
            <w:r>
              <w:rPr/>
              <w:t xml:space="preserve"> Esta tarifa aplica para pago en pesos colombianos a la TRM del día de cada depósito, según la liquidación enviada. Nota*** Estos precios aplican para pagos en efectivo o transferencia.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HABITACIÓN TRIPLE: </w:t>
            </w:r>
            <w:r>
              <w:rPr/>
              <w:t xml:space="preserve">Consta de 1 o 2 camas. Se dejará la observación de acuerdo a la solicitud del cliente, pero no se garantiza, ya que está sujeto a la disponibilidad del hotel.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POLITICA DE MENORES</w:t>
            </w:r>
            <w:r>
              <w:rPr/>
              <w:t xml:space="preserve">: tarifa aplica para 1 niño entre 2 y 11,99 años acompañado de 2 adultos, niños adicionales se debe consultar la tarifa.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RIU BAMBU</w:t>
            </w:r>
            <w:r>
              <w:rPr/>
              <w:t xml:space="preserve"> </w:t>
            </w:r>
          </w:p>
          <w:p>
            <w:pPr>
              <w:jc w:val="start"/>
              <w:spacing w:before="0" w:after="0"/>
            </w:pPr>
            <w:r>
              <w:rPr/>
              <w:t xml:space="preserve">Hab. Standard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VIGENCIA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NIÑOS (3-11)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02 ENE – 31 ENE/2025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549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522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785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285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177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169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256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135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FEB – 31 MAR/2025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573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544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819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297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185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176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268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141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01 ABR – 12 ABR/2025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439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417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625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230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141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134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107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13 ABR – 19 ABR 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573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544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819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297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185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176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268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141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20 ABR – 30 ABR /2025 </w:t>
            </w:r>
            <w:r>
              <w:rPr/>
              <w:t xml:space="preserve">3 noches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443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421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631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232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Noche Adicional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142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135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205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/>
              <w:t xml:space="preserve">108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Ofertas Vigentes para reservar antes de 30 ENERO de 2025</w:t>
            </w:r>
          </w:p>
          <w:p>
            <w:pPr>
              <w:numPr>
                <w:ilvl w:val="0"/>
                <w:numId w:val="4"/>
              </w:numPr>
            </w:pPr>
            <w:r>
              <w:rPr/>
              <w:t xml:space="preserve">Estancia mínima de cuatro (4) noches para Semana Santa (16 – 20 abril, 2025) en todas las categorías de habitación.</w:t>
            </w:r>
          </w:p>
        </w:tc>
      </w:tr>
      <w:tr>
        <w:trPr/>
        <w:tc>
          <w:tcPr>
            <w:tcW w:w="7800" w:type="dxa"/>
            <w:gridSpan w:val="5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</w:t>
            </w:r>
            <w:r>
              <w:rPr/>
              <w:t xml:space="preserve"> Esta tarifa aplica para pago en pesos colombianos a la TRM del día de cada depósito, según la liquidación enviada. Nota*** Estos precios aplican para pagos en efectivo o transferencia.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HABITACIÓN TRIPLE: </w:t>
            </w:r>
            <w:r>
              <w:rPr/>
              <w:t xml:space="preserve">Consta de 1 o 2 camas. Se dejará la observación de acuerdo a la solicitud del cliente, pero no se garantiza, ya que está sujeto a la disponibilidad del hotel. </w:t>
            </w:r>
          </w:p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POLITICA DE MENORES</w:t>
            </w:r>
            <w:r>
              <w:rPr/>
              <w:t xml:space="preserve">: tarifa aplica para 1 niño entre 2 y 11,99 años acompañado de 2 adultos, niños adicionales se debe consultar la tarifa.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5"/>
        </w:numPr>
      </w:pPr>
      <w:r>
        <w:rPr/>
        <w:t xml:space="preserve">Traslados Aeropuerto – Hotel – Aeropuerto en servicio regular diurno.</w:t>
      </w:r>
    </w:p>
    <w:p>
      <w:pPr>
        <w:numPr>
          <w:ilvl w:val="1"/>
          <w:numId w:val="5"/>
        </w:numPr>
      </w:pPr>
      <w:r>
        <w:rPr/>
        <w:t xml:space="preserve">03 noches de alojamiento en hotel seleccionado.</w:t>
      </w:r>
    </w:p>
    <w:p>
      <w:pPr>
        <w:numPr>
          <w:ilvl w:val="1"/>
          <w:numId w:val="5"/>
        </w:numPr>
      </w:pPr>
      <w:r>
        <w:rPr/>
        <w:t xml:space="preserve">Plan de Alimentación todo incluido </w:t>
      </w:r>
    </w:p>
    <w:p>
      <w:pPr>
        <w:numPr>
          <w:ilvl w:val="1"/>
          <w:numId w:val="5"/>
        </w:numPr>
      </w:pPr>
      <w:r>
        <w:rPr/>
        <w:t xml:space="preserve">Impuestos hoteleros. </w:t>
      </w:r>
    </w:p>
    <w:p>
      <w:pPr>
        <w:numPr>
          <w:ilvl w:val="1"/>
          <w:numId w:val="5"/>
        </w:numPr>
      </w:pPr>
      <w:r>
        <w:rPr/>
        <w:t xml:space="preserve">Actividades diarias en el hotel seleccionado.</w:t>
      </w:r>
    </w:p>
    <w:p>
      <w:pPr>
        <w:numPr>
          <w:ilvl w:val="1"/>
          <w:numId w:val="5"/>
        </w:numPr>
      </w:pPr>
      <w:r>
        <w:rPr/>
        <w:t xml:space="preserve">Tarjeta de asistencia médica hasta los 75 años con una Cobertura de USD 35.000 por Accidente o Enfermedad no pre-existente. (personas mayores de 76 años deben pagar un suplemento)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5"/>
        </w:numPr>
      </w:pPr>
      <w:r>
        <w:rPr/>
        <w:t xml:space="preserve">Tiquetes aéreos </w:t>
      </w:r>
    </w:p>
    <w:p>
      <w:pPr>
        <w:numPr>
          <w:ilvl w:val="1"/>
          <w:numId w:val="5"/>
        </w:numPr>
      </w:pPr>
      <w:r>
        <w:rPr/>
        <w:t xml:space="preserve">Gastos personales. </w:t>
      </w:r>
    </w:p>
    <w:p>
      <w:pPr>
        <w:numPr>
          <w:ilvl w:val="1"/>
          <w:numId w:val="5"/>
        </w:numPr>
      </w:pPr>
      <w:r>
        <w:rPr/>
        <w:t xml:space="preserve">Ningún servicio no especificado.</w:t>
      </w:r>
    </w:p>
    <w:p>
      <w:pPr>
        <w:numPr>
          <w:ilvl w:val="1"/>
          <w:numId w:val="5"/>
        </w:numPr>
      </w:pPr>
      <w:r>
        <w:rPr/>
        <w:t xml:space="preserve">Excursiones opcionales.</w:t>
      </w:r>
    </w:p>
    <w:p>
      <w:pPr>
        <w:numPr>
          <w:ilvl w:val="1"/>
          <w:numId w:val="5"/>
        </w:numPr>
      </w:pPr>
      <w:r>
        <w:rPr/>
        <w:t xml:space="preserve">Recargos en los hoteles por Early Check In o Late Check out</w:t>
      </w:r>
    </w:p>
    <w:p>
      <w:pPr>
        <w:numPr>
          <w:ilvl w:val="1"/>
          <w:numId w:val="5"/>
        </w:numPr>
      </w:pPr>
      <w:r>
        <w:rPr/>
        <w:t xml:space="preserve">2% del Fee bancario</w:t>
      </w:r>
    </w:p>
    <w:sectPr>
      <w:headerReference w:type="default" r:id="rId9"/>
      <w:footerReference w:type="default" r:id="rId10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294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779A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154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9CFC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C6D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S-MX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MX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2025-05-12T02:11:10+00:00</dcterms:created>
  <dcterms:modified xsi:type="dcterms:W3CDTF">2025-05-12T02:11:10+00:00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