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MINI FLORIDA I                    </w:t>
      </w:r>
    </w:p>
    <w:p>
      <w:pPr/>
      <w:r>
        <w:rPr>
          <w:rFonts w:ascii="Arial" w:hAnsi="Arial" w:eastAsia="Arial" w:cs="Arial"/>
          <w:color w:val="light"/>
          <w:sz w:val="22"/>
          <w:szCs w:val="22"/>
          <w:b w:val="0"/>
          <w:bCs w:val="0"/>
        </w:rPr>
        <w:t xml:space="preserve">MTC - 48088</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$456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Miami, </w:t>
      </w:r>
      <w:r>
        <w:rPr/>
        <w:t xml:space="preserve">Orlando,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MIAMI.</w:t>
      </w:r>
    </w:p>
    <w:p>
      <w:pPr/>
      <w:r>
        <w:rPr/>
        <w:t xml:space="preserve">Recepción en el aeropuerto internacional de Miami y traslado al hotel. </w:t>
      </w:r>
      <w:r>
        <w:rPr>
          <w:b w:val="1"/>
          <w:bCs w:val="1"/>
        </w:rPr>
        <w:t xml:space="preserve">Alojamiento.</w:t>
      </w:r>
    </w:p>
    <w:p>
      <w:pPr/>
      <w:r>
        <w:rPr/>
        <w:t xml:space="preserve"> </w:t>
      </w:r>
    </w:p>
    <w:p>
      <w:pPr/>
      <w:r>
        <w:rPr>
          <w:b w:val="1"/>
          <w:bCs w:val="1"/>
        </w:rPr>
        <w:t xml:space="preserve">DÍA 02 MIAMI – ORLANDO.</w:t>
      </w:r>
    </w:p>
    <w:p>
      <w:pPr/>
      <w:r>
        <w:rPr/>
        <w:t xml:space="preserve">A la hora acordada presentación en el lobby del hotel para salida a la ciudad de Orlando en bus regular (hora de salida 04:00hrs aprox), los conductores llegan al lugar indicado y no salen a buscar a los pasajeros al lobby del hotel o los lugares de Pick up, por regulaciones del departamento de transportación los vehículos no se les puede dejar solos, todo pasajero debe estar pendiente de la llegada del autobús que los transportará hasta la ciudad de Orlando. Llegada a Orlando sobre las 10:00hrs aprox si las condiciones del tráfico lo permiten. (entrega de la habitación a partir de las 15:00hrs). </w:t>
      </w:r>
      <w:r>
        <w:rPr>
          <w:b w:val="1"/>
          <w:bCs w:val="1"/>
        </w:rPr>
        <w:t xml:space="preserve">Alojamiento.</w:t>
      </w:r>
    </w:p>
    <w:p>
      <w:pPr/>
      <w:r>
        <w:rPr/>
        <w:t xml:space="preserve"> </w:t>
      </w:r>
    </w:p>
    <w:p>
      <w:pPr/>
      <w:r>
        <w:rPr>
          <w:b w:val="1"/>
          <w:bCs w:val="1"/>
        </w:rPr>
        <w:t xml:space="preserve">DÍA 03 ORLANDO.</w:t>
      </w:r>
    </w:p>
    <w:p>
      <w:pPr/>
      <w:r>
        <w:rPr/>
        <w:t xml:space="preserve">Traslado a primera hora para disfrutar (</w:t>
      </w:r>
      <w:r>
        <w:rPr>
          <w:b w:val="1"/>
          <w:bCs w:val="1"/>
        </w:rPr>
        <w:t xml:space="preserve">Primer Parque</w:t>
      </w:r>
      <w:r>
        <w:rPr/>
        <w:t xml:space="preserve">: Disney o SeaWorld*). Traslado de regreso al hotel. </w:t>
      </w:r>
      <w:r>
        <w:rPr>
          <w:b w:val="1"/>
          <w:bCs w:val="1"/>
        </w:rPr>
        <w:t xml:space="preserve">Alojamiento</w:t>
      </w:r>
    </w:p>
    <w:p>
      <w:pPr/>
      <w:r>
        <w:rPr/>
        <w:t xml:space="preserve"> </w:t>
      </w:r>
    </w:p>
    <w:p>
      <w:pPr/>
      <w:r>
        <w:rPr>
          <w:b w:val="1"/>
          <w:bCs w:val="1"/>
        </w:rPr>
        <w:t xml:space="preserve">DÍA 04 ORLANDO – MIAMI.</w:t>
      </w:r>
    </w:p>
    <w:p>
      <w:pPr/>
      <w:r>
        <w:rPr/>
        <w:t xml:space="preserve">(Entrega de la habitación) Traslado a primera hora para disfrutar (</w:t>
      </w:r>
      <w:r>
        <w:rPr>
          <w:b w:val="1"/>
          <w:bCs w:val="1"/>
        </w:rPr>
        <w:t xml:space="preserve">Segundo Parque</w:t>
      </w:r>
      <w:r>
        <w:rPr/>
        <w:t xml:space="preserve">: Disney o SeaWorld*). Traslado de regreso al hotel para recoger equipaje y recogida en el hotel para salida a la ciudad de Miami en bus regular (hora de salida 19:00hrs aprox), llegada al hotel en Miami. </w:t>
      </w:r>
      <w:r>
        <w:rPr>
          <w:b w:val="1"/>
          <w:bCs w:val="1"/>
        </w:rPr>
        <w:t xml:space="preserve">Alojamiento.</w:t>
      </w:r>
    </w:p>
    <w:p>
      <w:pPr/>
      <w:r>
        <w:rPr/>
        <w:t xml:space="preserve"> </w:t>
      </w:r>
    </w:p>
    <w:p>
      <w:pPr/>
      <w:r>
        <w:rPr>
          <w:b w:val="1"/>
          <w:bCs w:val="1"/>
        </w:rPr>
        <w:t xml:space="preserve">DÍA 05 MIAMI.</w:t>
      </w:r>
    </w:p>
    <w:p>
      <w:pPr/>
      <w:r>
        <w:rPr/>
        <w:t xml:space="preserve">A la hora indicada traslado al aeropuerto internacional de Miami para tomar vuelo de regreso.</w:t>
      </w:r>
    </w:p>
    <w:p>
      <w:pPr/>
      <w:r>
        <w:rPr/>
        <w:t xml:space="preserve"> </w:t>
      </w:r>
    </w:p>
    <w:p>
      <w:pPr/>
      <w:r>
        <w:rPr>
          <w:i w:val="1"/>
          <w:iCs w:val="1"/>
        </w:rPr>
        <w:t xml:space="preserve">*</w:t>
      </w:r>
      <w:r>
        <w:rPr>
          <w:i w:val="1"/>
          <w:iCs w:val="1"/>
        </w:rPr>
        <w:t xml:space="preserve"> </w:t>
      </w:r>
      <w:r>
        <w:rPr/>
        <w:t xml:space="preserve">NO incluye admisión a parque de Disney.</w:t>
      </w:r>
    </w:p>
    <w:p>
      <w:pPr/>
      <w:r>
        <w:rPr/>
        <w:t xml:space="preserve">* El orden de visita de los parques será designado por el departamento de tráfico de nuestro operador en destino de acuerdo con la disponibilidad de los parques.</w:t>
      </w:r>
    </w:p>
    <w:p>
      <w:pPr/>
      <w:r>
        <w:rPr/>
        <w:t xml:space="preserve">* Tour de compras será designado por el departamento de tráfico.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HOTEL</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r>
              <w:rPr>
                <w:b w:val="1"/>
                <w:bCs w:val="1"/>
              </w:rPr>
              <w:t xml:space="preserve">CDP</w:t>
            </w:r>
          </w:p>
        </w:tc>
        <w:tc>
          <w:tcPr>
            <w:tcW w:w="7800" w:type="dxa"/>
            <w:noWrap/>
          </w:tcPr>
          <w:p>
            <w:pPr/>
            <w:r>
              <w:rPr>
                <w:b w:val="1"/>
                <w:bCs w:val="1"/>
              </w:rPr>
              <w:t xml:space="preserve">JNR</w:t>
            </w:r>
          </w:p>
        </w:tc>
        <w:tc>
          <w:tcPr>
            <w:tcW w:w="7800" w:type="dxa"/>
            <w:noWrap/>
          </w:tcPr>
          <w:p>
            <w:pPr/>
            <w:r>
              <w:rPr>
                <w:b w:val="1"/>
                <w:bCs w:val="1"/>
              </w:rPr>
              <w:t xml:space="preserve">CHD</w:t>
            </w:r>
          </w:p>
        </w:tc>
      </w:tr>
      <w:tr>
        <w:trPr/>
        <w:tc>
          <w:tcPr>
            <w:tcW w:w="7800" w:type="dxa"/>
            <w:noWrap/>
          </w:tcPr>
          <w:p>
            <w:pPr/>
            <w:r>
              <w:rPr/>
              <w:t xml:space="preserve">Económica</w:t>
            </w:r>
          </w:p>
        </w:tc>
        <w:tc>
          <w:tcPr>
            <w:tcW w:w="7800" w:type="dxa"/>
            <w:noWrap/>
          </w:tcPr>
          <w:p>
            <w:pPr/>
            <w:r>
              <w:rPr/>
              <w:t xml:space="preserve">USD 1.181</w:t>
            </w:r>
          </w:p>
        </w:tc>
        <w:tc>
          <w:tcPr>
            <w:tcW w:w="7800" w:type="dxa"/>
            <w:noWrap/>
          </w:tcPr>
          <w:p>
            <w:pPr/>
            <w:r>
              <w:rPr/>
              <w:t xml:space="preserve">USD 706</w:t>
            </w:r>
          </w:p>
        </w:tc>
        <w:tc>
          <w:tcPr>
            <w:tcW w:w="7800" w:type="dxa"/>
            <w:noWrap/>
          </w:tcPr>
          <w:p>
            <w:pPr/>
            <w:r>
              <w:rPr/>
              <w:t xml:space="preserve">USD 550</w:t>
            </w:r>
          </w:p>
        </w:tc>
        <w:tc>
          <w:tcPr>
            <w:tcW w:w="7800" w:type="dxa"/>
            <w:noWrap/>
          </w:tcPr>
          <w:p>
            <w:pPr/>
            <w:r>
              <w:rPr/>
              <w:t xml:space="preserve">USD 456</w:t>
            </w:r>
          </w:p>
        </w:tc>
        <w:tc>
          <w:tcPr>
            <w:tcW w:w="7800" w:type="dxa"/>
            <w:noWrap/>
          </w:tcPr>
          <w:p>
            <w:pPr/>
            <w:r>
              <w:rPr/>
              <w:t xml:space="preserve">USD 250</w:t>
            </w:r>
          </w:p>
        </w:tc>
        <w:tc>
          <w:tcPr>
            <w:tcW w:w="7800" w:type="dxa"/>
            <w:noWrap/>
          </w:tcPr>
          <w:p>
            <w:pPr/>
            <w:r>
              <w:rPr/>
              <w:t xml:space="preserve">USD 244</w:t>
            </w:r>
          </w:p>
        </w:tc>
      </w:tr>
      <w:tr>
        <w:trPr/>
        <w:tc>
          <w:tcPr>
            <w:tcW w:w="7800" w:type="dxa"/>
            <w:noWrap/>
          </w:tcPr>
          <w:p>
            <w:pPr/>
            <w:r>
              <w:rPr/>
              <w:t xml:space="preserve">Turista</w:t>
            </w:r>
          </w:p>
        </w:tc>
        <w:tc>
          <w:tcPr>
            <w:tcW w:w="7800" w:type="dxa"/>
            <w:noWrap/>
          </w:tcPr>
          <w:p>
            <w:pPr/>
            <w:r>
              <w:rPr/>
              <w:t xml:space="preserve">USD 1.294</w:t>
            </w:r>
          </w:p>
        </w:tc>
        <w:tc>
          <w:tcPr>
            <w:tcW w:w="7800" w:type="dxa"/>
            <w:noWrap/>
          </w:tcPr>
          <w:p>
            <w:pPr/>
            <w:r>
              <w:rPr/>
              <w:t xml:space="preserve">USD 763</w:t>
            </w:r>
          </w:p>
        </w:tc>
        <w:tc>
          <w:tcPr>
            <w:tcW w:w="7800" w:type="dxa"/>
            <w:noWrap/>
          </w:tcPr>
          <w:p>
            <w:pPr/>
            <w:r>
              <w:rPr/>
              <w:t xml:space="preserve">USD 588</w:t>
            </w:r>
          </w:p>
        </w:tc>
        <w:tc>
          <w:tcPr>
            <w:tcW w:w="7800" w:type="dxa"/>
            <w:noWrap/>
          </w:tcPr>
          <w:p>
            <w:pPr/>
            <w:r>
              <w:rPr/>
              <w:t xml:space="preserve">USD 484</w:t>
            </w:r>
          </w:p>
        </w:tc>
        <w:tc>
          <w:tcPr>
            <w:tcW w:w="7800" w:type="dxa"/>
            <w:noWrap/>
          </w:tcPr>
          <w:p>
            <w:pPr/>
            <w:r>
              <w:rPr/>
              <w:t xml:space="preserve">USD 250</w:t>
            </w:r>
          </w:p>
        </w:tc>
        <w:tc>
          <w:tcPr>
            <w:tcW w:w="7800" w:type="dxa"/>
            <w:noWrap/>
          </w:tcPr>
          <w:p>
            <w:pPr/>
            <w:r>
              <w:rPr/>
              <w:t xml:space="preserve">USD 244</w:t>
            </w:r>
          </w:p>
        </w:tc>
      </w:tr>
      <w:tr>
        <w:trPr/>
        <w:tc>
          <w:tcPr>
            <w:tcW w:w="7800" w:type="dxa"/>
            <w:noWrap/>
          </w:tcPr>
          <w:p>
            <w:pPr/>
            <w:r>
              <w:rPr/>
              <w:t xml:space="preserve">Turista Superior</w:t>
            </w:r>
          </w:p>
        </w:tc>
        <w:tc>
          <w:tcPr>
            <w:tcW w:w="7800" w:type="dxa"/>
            <w:noWrap/>
          </w:tcPr>
          <w:p>
            <w:pPr/>
            <w:r>
              <w:rPr/>
              <w:t xml:space="preserve">USD 1.456</w:t>
            </w:r>
          </w:p>
        </w:tc>
        <w:tc>
          <w:tcPr>
            <w:tcW w:w="7800" w:type="dxa"/>
            <w:noWrap/>
          </w:tcPr>
          <w:p>
            <w:pPr/>
            <w:r>
              <w:rPr/>
              <w:t xml:space="preserve">USD 844</w:t>
            </w:r>
          </w:p>
        </w:tc>
        <w:tc>
          <w:tcPr>
            <w:tcW w:w="7800" w:type="dxa"/>
            <w:noWrap/>
          </w:tcPr>
          <w:p>
            <w:pPr/>
            <w:r>
              <w:rPr/>
              <w:t xml:space="preserve">USD 642</w:t>
            </w:r>
          </w:p>
        </w:tc>
        <w:tc>
          <w:tcPr>
            <w:tcW w:w="7800" w:type="dxa"/>
            <w:noWrap/>
          </w:tcPr>
          <w:p>
            <w:pPr/>
            <w:r>
              <w:rPr/>
              <w:t xml:space="preserve">USD 525</w:t>
            </w:r>
          </w:p>
        </w:tc>
        <w:tc>
          <w:tcPr>
            <w:tcW w:w="7800" w:type="dxa"/>
            <w:noWrap/>
          </w:tcPr>
          <w:p>
            <w:pPr/>
            <w:r>
              <w:rPr/>
              <w:t xml:space="preserve">USD 250</w:t>
            </w:r>
          </w:p>
        </w:tc>
        <w:tc>
          <w:tcPr>
            <w:tcW w:w="7800" w:type="dxa"/>
            <w:noWrap/>
          </w:tcPr>
          <w:p>
            <w:pPr/>
            <w:r>
              <w:rPr/>
              <w:t xml:space="preserve">USD 244</w:t>
            </w:r>
          </w:p>
        </w:tc>
      </w:tr>
      <w:tr>
        <w:trPr/>
        <w:tc>
          <w:tcPr>
            <w:tcW w:w="7800" w:type="dxa"/>
            <w:noWrap/>
          </w:tcPr>
          <w:p>
            <w:pPr/>
            <w:r>
              <w:rPr/>
              <w:t xml:space="preserve">Primera</w:t>
            </w:r>
          </w:p>
        </w:tc>
        <w:tc>
          <w:tcPr>
            <w:tcW w:w="7800" w:type="dxa"/>
            <w:noWrap/>
          </w:tcPr>
          <w:p>
            <w:pPr/>
            <w:r>
              <w:rPr/>
              <w:t xml:space="preserve">USD 1.569</w:t>
            </w:r>
          </w:p>
        </w:tc>
        <w:tc>
          <w:tcPr>
            <w:tcW w:w="7800" w:type="dxa"/>
            <w:noWrap/>
          </w:tcPr>
          <w:p>
            <w:pPr/>
            <w:r>
              <w:rPr/>
              <w:t xml:space="preserve">USD 900</w:t>
            </w:r>
          </w:p>
        </w:tc>
        <w:tc>
          <w:tcPr>
            <w:tcW w:w="7800" w:type="dxa"/>
            <w:noWrap/>
          </w:tcPr>
          <w:p>
            <w:pPr/>
            <w:r>
              <w:rPr/>
              <w:t xml:space="preserve">USD 679</w:t>
            </w:r>
          </w:p>
        </w:tc>
        <w:tc>
          <w:tcPr>
            <w:tcW w:w="7800" w:type="dxa"/>
            <w:noWrap/>
          </w:tcPr>
          <w:p>
            <w:pPr/>
            <w:r>
              <w:rPr/>
              <w:t xml:space="preserve">USD 553</w:t>
            </w:r>
          </w:p>
        </w:tc>
        <w:tc>
          <w:tcPr>
            <w:tcW w:w="7800" w:type="dxa"/>
            <w:noWrap/>
          </w:tcPr>
          <w:p>
            <w:pPr/>
            <w:r>
              <w:rPr/>
              <w:t xml:space="preserve">USD 250</w:t>
            </w:r>
          </w:p>
        </w:tc>
        <w:tc>
          <w:tcPr>
            <w:tcW w:w="7800" w:type="dxa"/>
            <w:noWrap/>
          </w:tcPr>
          <w:p>
            <w:pPr/>
            <w:r>
              <w:rPr/>
              <w:t xml:space="preserve">USD 244</w:t>
            </w:r>
          </w:p>
        </w:tc>
      </w:tr>
      <w:tr>
        <w:trPr/>
        <w:tc>
          <w:tcPr>
            <w:tcW w:w="7800" w:type="dxa"/>
            <w:noWrap/>
          </w:tcPr>
          <w:p>
            <w:pPr/>
            <w:r>
              <w:rPr/>
              <w:t xml:space="preserve">SIN Hotelería</w:t>
            </w:r>
          </w:p>
        </w:tc>
        <w:tc>
          <w:tcPr>
            <w:tcW w:w="7800" w:type="dxa"/>
            <w:noWrap/>
          </w:tcPr>
          <w:p>
            <w:pPr/>
            <w:r>
              <w:rPr/>
              <w:t xml:space="preserve">USD 656</w:t>
            </w:r>
          </w:p>
        </w:tc>
        <w:tc>
          <w:tcPr>
            <w:tcW w:w="7800" w:type="dxa"/>
            <w:noWrap/>
          </w:tcPr>
          <w:p>
            <w:pPr/>
            <w:r>
              <w:rPr/>
              <w:t xml:space="preserve">USD 444</w:t>
            </w:r>
          </w:p>
        </w:tc>
        <w:tc>
          <w:tcPr>
            <w:tcW w:w="7800" w:type="dxa"/>
            <w:noWrap/>
          </w:tcPr>
          <w:p>
            <w:pPr/>
            <w:r>
              <w:rPr/>
              <w:t xml:space="preserve">USD 375</w:t>
            </w:r>
          </w:p>
        </w:tc>
        <w:tc>
          <w:tcPr>
            <w:tcW w:w="7800" w:type="dxa"/>
            <w:noWrap/>
          </w:tcPr>
          <w:p>
            <w:pPr/>
            <w:r>
              <w:rPr/>
              <w:t xml:space="preserve">USD 325</w:t>
            </w:r>
          </w:p>
        </w:tc>
        <w:tc>
          <w:tcPr>
            <w:tcW w:w="7800" w:type="dxa"/>
            <w:noWrap/>
          </w:tcPr>
          <w:p>
            <w:pPr/>
            <w:r>
              <w:rPr/>
              <w:t xml:space="preserve">USD 250</w:t>
            </w:r>
          </w:p>
        </w:tc>
        <w:tc>
          <w:tcPr>
            <w:tcW w:w="7800" w:type="dxa"/>
            <w:noWrap/>
          </w:tcPr>
          <w:p>
            <w:pPr/>
            <w:r>
              <w:rPr/>
              <w:t xml:space="preserve">USD 244</w:t>
            </w:r>
          </w:p>
        </w:tc>
      </w:tr>
      <w:tr>
        <w:trPr/>
        <w:tc>
          <w:tcPr>
            <w:tcW w:w="7800" w:type="dxa"/>
            <w:gridSpan w:val="7"/>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pPr>
            <w:r>
              <w:rPr/>
              <w:t xml:space="preserve">			</w:t>
            </w:r>
          </w:p>
          <w:p>
            <w:pPr>
              <w:jc w:val="start"/>
              <w:spacing w:before="0" w:after="0"/>
            </w:pPr>
            <w:r>
              <w:rPr>
                <w:b w:val="1"/>
                <w:bCs w:val="1"/>
              </w:rPr>
              <w:t xml:space="preserve">BLACK OUT’S (Durante los Black out las tarifas y la disponibilidad de los hoteles están sujetos a Cambios).</w:t>
            </w:r>
          </w:p>
          <w:p>
            <w:pPr>
              <w:jc w:val="start"/>
            </w:pPr>
            <w:r>
              <w:rPr/>
              <w:t xml:space="preserve">			</w:t>
            </w:r>
          </w:p>
          <w:p>
            <w:pPr>
              <w:jc w:val="start"/>
            </w:pPr>
            <w:r>
              <w:rPr/>
              <w:t xml:space="preserve">				</w:t>
            </w:r>
          </w:p>
          <w:p>
            <w:pPr>
              <w:numPr>
                <w:ilvl w:val="0"/>
                <w:numId w:val="1"/>
              </w:numPr>
            </w:pPr>
            <w:r>
              <w:rPr/>
              <w:t xml:space="preserve">Boat Show: Feb 15 a Feb 18, 2024. / SOBE Food Wine: Feb 22 a Feb 26, 2024.</w:t>
            </w:r>
          </w:p>
          <w:p>
            <w:pPr>
              <w:jc w:val="start"/>
            </w:pPr>
            <w:r>
              <w:rPr/>
              <w:t xml:space="preserve">				</w:t>
            </w:r>
          </w:p>
          <w:p>
            <w:pPr>
              <w:numPr>
                <w:ilvl w:val="0"/>
                <w:numId w:val="1"/>
              </w:numPr>
            </w:pPr>
            <w:r>
              <w:rPr/>
              <w:t xml:space="preserve">President Day: Feb 16 a Feb 20, 2024 / Spring Break: Mar 09 a Mar 24, 2024.</w:t>
            </w:r>
          </w:p>
          <w:p>
            <w:pPr>
              <w:jc w:val="start"/>
            </w:pPr>
            <w:r>
              <w:rPr/>
              <w:t xml:space="preserve">				</w:t>
            </w:r>
          </w:p>
          <w:p>
            <w:pPr>
              <w:numPr>
                <w:ilvl w:val="0"/>
                <w:numId w:val="1"/>
              </w:numPr>
            </w:pPr>
            <w:r>
              <w:rPr/>
              <w:t xml:space="preserve">WMC – ULTRA: Mar 22 a Mar 26, 2024. / Miami Open Tennis: Mar 17 a Abr 01, 2024.</w:t>
            </w:r>
          </w:p>
          <w:p>
            <w:pPr>
              <w:jc w:val="start"/>
            </w:pPr>
            <w:r>
              <w:rPr/>
              <w:t xml:space="preserve">				</w:t>
            </w:r>
          </w:p>
          <w:p>
            <w:pPr>
              <w:numPr>
                <w:ilvl w:val="0"/>
                <w:numId w:val="1"/>
              </w:numPr>
            </w:pPr>
            <w:r>
              <w:rPr/>
              <w:t xml:space="preserve">Semana Santa: Mar 23 a Mar 31, 2024 / Passover Holiday: Abr 20 a Abr 29, 2024.</w:t>
            </w:r>
          </w:p>
          <w:p>
            <w:pPr>
              <w:jc w:val="start"/>
            </w:pPr>
            <w:r>
              <w:rPr/>
              <w:t xml:space="preserve">				</w:t>
            </w:r>
          </w:p>
          <w:p>
            <w:pPr>
              <w:numPr>
                <w:ilvl w:val="0"/>
                <w:numId w:val="1"/>
              </w:numPr>
            </w:pPr>
            <w:r>
              <w:rPr/>
              <w:t xml:space="preserve">Formula 1: May 03 a May 06, 2024 / Memorial Weekend: May 24 a 28 2024.</w:t>
            </w:r>
          </w:p>
          <w:p>
            <w:pPr>
              <w:jc w:val="start"/>
            </w:pPr>
            <w:r>
              <w:rPr/>
              <w:t xml:space="preserve">				</w:t>
            </w:r>
          </w:p>
          <w:p>
            <w:pPr>
              <w:numPr>
                <w:ilvl w:val="0"/>
                <w:numId w:val="1"/>
              </w:numPr>
            </w:pPr>
            <w:r>
              <w:rPr/>
              <w:t xml:space="preserve">Art Basel: Jun 13 a Jun 16, 2024 / Fechas de Copa América MIA-MCO, Juneenth: Jun 18 a Jun 22, 2024</w:t>
            </w:r>
          </w:p>
          <w:p>
            <w:pPr>
              <w:jc w:val="start"/>
            </w:pPr>
            <w:r>
              <w:rPr/>
              <w:t xml:space="preserve">				</w:t>
            </w:r>
          </w:p>
          <w:p>
            <w:pPr>
              <w:numPr>
                <w:ilvl w:val="0"/>
                <w:numId w:val="1"/>
              </w:numPr>
            </w:pPr>
            <w:r>
              <w:rPr/>
              <w:t xml:space="preserve">Independence Day: Jul 02 a Jul 08, 2024. / Rolling Load: Jul 18 a Jul 21, 2024.</w:t>
            </w:r>
          </w:p>
          <w:p>
            <w:pPr>
              <w:jc w:val="start"/>
            </w:pPr>
            <w:r>
              <w:rPr/>
              <w:t xml:space="preserve">				</w:t>
            </w:r>
          </w:p>
          <w:p>
            <w:pPr>
              <w:numPr>
                <w:ilvl w:val="0"/>
                <w:numId w:val="1"/>
              </w:numPr>
            </w:pPr>
            <w:r>
              <w:rPr/>
              <w:t xml:space="preserve">Labor Day: Ago 30 a Sep 03, 2024 / Columbus Day: Oct 11 a Oct 19, 2024.</w:t>
            </w:r>
          </w:p>
          <w:p>
            <w:pPr>
              <w:jc w:val="start"/>
            </w:pPr>
            <w:r>
              <w:rPr/>
              <w:t xml:space="preserve">				</w:t>
            </w:r>
          </w:p>
          <w:p>
            <w:pPr>
              <w:numPr>
                <w:ilvl w:val="0"/>
                <w:numId w:val="1"/>
              </w:numPr>
            </w:pPr>
            <w:r>
              <w:rPr/>
              <w:t xml:space="preserve">Veterans Day: Nov 08 a Nov 12, 2024 / Thanksgiving Day: Nov 23 a Dic 03, 2024.</w:t>
            </w:r>
          </w:p>
          <w:p>
            <w:pPr>
              <w:jc w:val="start"/>
            </w:pPr>
            <w:r>
              <w:rPr/>
              <w:t xml:space="preserve">				</w:t>
            </w:r>
          </w:p>
          <w:p>
            <w:pPr>
              <w:numPr>
                <w:ilvl w:val="0"/>
                <w:numId w:val="1"/>
              </w:numPr>
            </w:pPr>
            <w:r>
              <w:rPr/>
              <w:t xml:space="preserve">Christmas Holiday: Dic 15 a Ene 01, 2025.</w:t>
            </w:r>
          </w:p>
          <w:p>
            <w:pPr>
              <w:jc w:val="start"/>
            </w:pPr>
            <w:r>
              <w:rPr/>
              <w:t xml:space="preserve">			</w:t>
            </w:r>
          </w:p>
          <w:p>
            <w:pPr>
              <w:jc w:val="start"/>
            </w:pPr>
            <w:r>
              <w:rPr/>
              <w:t xml:space="preserve">			</w:t>
            </w:r>
          </w:p>
          <w:p>
            <w:pPr>
              <w:jc w:val="start"/>
              <w:spacing w:before="0" w:after="0"/>
            </w:pPr>
            <w:r>
              <w:rPr/>
              <w:t xml:space="preserve">Fechas sujetas a cambios.</w:t>
            </w:r>
          </w:p>
          <w:p>
            <w:pPr>
              <w:jc w:val="start"/>
            </w:pPr>
            <w:r>
              <w:rPr/>
              <w:t xml:space="preserve">			</w:t>
            </w:r>
          </w:p>
        </w:tc>
      </w:tr>
      <w:tr>
        <w:trPr/>
        <w:tc>
          <w:tcPr>
            <w:tcW w:w="7800" w:type="dxa"/>
            <w:gridSpan w:val="7"/>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2"/>
              </w:numPr>
            </w:pPr>
            <w:r>
              <w:rPr/>
              <w:t xml:space="preserve">Infantes: 0 a 02 Años. (Paga servicio transporte 70 USD MIA – MCO – MIA).</w:t>
            </w:r>
          </w:p>
          <w:p>
            <w:pPr>
              <w:jc w:val="start"/>
            </w:pPr>
            <w:r>
              <w:rPr/>
              <w:t xml:space="preserve">				</w:t>
            </w:r>
          </w:p>
          <w:p>
            <w:pPr>
              <w:numPr>
                <w:ilvl w:val="0"/>
                <w:numId w:val="2"/>
              </w:numPr>
            </w:pPr>
            <w:r>
              <w:rPr/>
              <w:t xml:space="preserve">Niños (CHD): 03 a 09 Años.</w:t>
            </w:r>
          </w:p>
          <w:p>
            <w:pPr>
              <w:jc w:val="start"/>
            </w:pPr>
            <w:r>
              <w:rPr/>
              <w:t xml:space="preserve">				</w:t>
            </w:r>
          </w:p>
          <w:p>
            <w:pPr>
              <w:numPr>
                <w:ilvl w:val="0"/>
                <w:numId w:val="2"/>
              </w:numPr>
            </w:pPr>
            <w:r>
              <w:rPr/>
              <w:t xml:space="preserve">Junior (JNR): 10 a 15 Años.</w:t>
            </w:r>
          </w:p>
          <w:p>
            <w:pPr>
              <w:jc w:val="start"/>
            </w:pPr>
            <w:r>
              <w:rPr/>
              <w:t xml:space="preserve">				</w:t>
            </w:r>
          </w:p>
          <w:p>
            <w:pPr>
              <w:numPr>
                <w:ilvl w:val="0"/>
                <w:numId w:val="2"/>
              </w:numPr>
            </w:pPr>
            <w:r>
              <w:rPr/>
              <w:t xml:space="preserve">Mayores de 15 años se consideran adultos.</w:t>
            </w:r>
          </w:p>
          <w:p>
            <w:pPr>
              <w:jc w:val="start"/>
            </w:pPr>
            <w:r>
              <w:rPr/>
              <w:t xml:space="preserve">			</w:t>
            </w:r>
          </w:p>
          <w:p>
            <w:pPr>
              <w:jc w:val="start"/>
            </w:pPr>
            <w:r>
              <w:rPr/>
              <w:t xml:space="preserve">			</w:t>
            </w:r>
          </w:p>
        </w:tc>
      </w:tr>
      <w:tr>
        <w:trPr/>
        <w:tc>
          <w:tcPr>
            <w:tcW w:w="7800" w:type="dxa"/>
            <w:gridSpan w:val="7"/>
            <w:noWrap/>
          </w:tcPr>
          <w:p>
            <w:pPr>
              <w:jc w:val="start"/>
            </w:pPr>
            <w:r>
              <w:rPr/>
              <w:t xml:space="preserve">			</w:t>
            </w:r>
          </w:p>
          <w:p>
            <w:pPr>
              <w:jc w:val="start"/>
              <w:spacing w:before="0" w:after="0"/>
            </w:pPr>
            <w:r>
              <w:rPr>
                <w:b w:val="1"/>
                <w:bCs w:val="1"/>
              </w:rPr>
              <w:t xml:space="preserve">RECARGOS: </w:t>
            </w:r>
            <w:r>
              <w:rPr/>
              <w:t xml:space="preserve"> Para temporada alta. Se aplicará un cargo extra de 20 USD por servicio, por día en las siguientes fechas:</w:t>
            </w:r>
          </w:p>
          <w:p>
            <w:pPr>
              <w:jc w:val="start"/>
            </w:pPr>
            <w:r>
              <w:rPr/>
              <w:t xml:space="preserve">			</w:t>
            </w:r>
          </w:p>
          <w:p>
            <w:pPr>
              <w:jc w:val="start"/>
            </w:pPr>
            <w:r>
              <w:rPr/>
              <w:t xml:space="preserve">				</w:t>
            </w:r>
          </w:p>
          <w:p>
            <w:pPr>
              <w:numPr>
                <w:ilvl w:val="0"/>
                <w:numId w:val="3"/>
              </w:numPr>
            </w:pPr>
            <w:r>
              <w:rPr/>
              <w:t xml:space="preserve">Jun 15 a Ago 15, 2024 / Oct 10 a Oct 31,2024 / Nov 18 a Nov 28,2024.</w:t>
            </w:r>
          </w:p>
          <w:p>
            <w:pPr>
              <w:jc w:val="start"/>
            </w:pPr>
            <w:r>
              <w:rPr/>
              <w:t xml:space="preserve">				</w:t>
            </w:r>
          </w:p>
          <w:p>
            <w:pPr>
              <w:numPr>
                <w:ilvl w:val="0"/>
                <w:numId w:val="3"/>
              </w:numPr>
            </w:pPr>
            <w:r>
              <w:rPr/>
              <w:t xml:space="preserve">Dic 10 a Ene 20, 2025.</w:t>
            </w:r>
          </w:p>
          <w:p>
            <w:pPr>
              <w:jc w:val="start"/>
            </w:pPr>
            <w:r>
              <w:rPr/>
              <w:t xml:space="preserve">			</w:t>
            </w:r>
          </w:p>
          <w:p>
            <w:pPr>
              <w:jc w:val="start"/>
            </w:pPr>
            <w:r>
              <w:rPr/>
              <w:t xml:space="preserve">			</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por servicio:</w:t>
            </w:r>
          </w:p>
          <w:p>
            <w:pPr>
              <w:jc w:val="start"/>
            </w:pPr>
            <w:r>
              <w:rPr/>
              <w:t xml:space="preserve">			</w:t>
            </w:r>
          </w:p>
          <w:p>
            <w:pPr>
              <w:jc w:val="start"/>
            </w:pPr>
            <w:r>
              <w:rPr/>
              <w:t xml:space="preserve">				</w:t>
            </w:r>
          </w:p>
          <w:p>
            <w:pPr>
              <w:numPr>
                <w:ilvl w:val="0"/>
                <w:numId w:val="4"/>
              </w:numPr>
            </w:pPr>
            <w:r>
              <w:rPr/>
              <w:t xml:space="preserve">Para vuelos internacionales de LLEGADA entre las 21:00hrs a 06:00hrs.</w:t>
            </w:r>
          </w:p>
          <w:p>
            <w:pPr>
              <w:jc w:val="start"/>
            </w:pPr>
            <w:r>
              <w:rPr/>
              <w:t xml:space="preserve">				</w:t>
            </w:r>
          </w:p>
          <w:p>
            <w:pPr>
              <w:numPr>
                <w:ilvl w:val="0"/>
                <w:numId w:val="4"/>
              </w:numPr>
            </w:pPr>
            <w:r>
              <w:rPr/>
              <w:t xml:space="preserve">Para traslados de SALIDA en vuelos internacionales entre 23:00hrs a 09:00hrs.</w:t>
            </w:r>
          </w:p>
          <w:p>
            <w:pPr>
              <w:jc w:val="start"/>
            </w:pPr>
            <w:r>
              <w:rPr/>
              <w:t xml:space="preserve">			</w:t>
            </w:r>
          </w:p>
          <w:p>
            <w:pPr>
              <w:jc w:val="start"/>
            </w:pPr>
            <w:r>
              <w:rPr/>
              <w:t xml:space="preserve">			</w:t>
            </w:r>
          </w:p>
        </w:tc>
      </w:tr>
      <w:tr>
        <w:trPr/>
        <w:tc>
          <w:tcPr>
            <w:tcW w:w="7800" w:type="dxa"/>
            <w:gridSpan w:val="7"/>
            <w:noWrap/>
          </w:tcPr>
          <w:p>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5"/>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ORLANDO</w:t>
            </w:r>
          </w:p>
        </w:tc>
        <w:tc>
          <w:tcPr>
            <w:tcW w:w="7800" w:type="dxa"/>
            <w:shd w:val="clear" w:fill="152441"/>
            <w:noWrap/>
          </w:tcPr>
          <w:p>
            <w:pPr/>
            <w:r>
              <w:rPr>
                <w:color w:val="ffffff"/>
                <w:sz w:val="21"/>
                <w:szCs w:val="21"/>
                <w:b w:val="1"/>
                <w:bCs w:val="1"/>
                <w:shd w:val="clear" w:fill="152441"/>
              </w:rPr>
              <w:t xml:space="preserve">MIAMI</w:t>
            </w:r>
          </w:p>
        </w:tc>
      </w:tr>
      <w:tr>
        <w:trPr/>
        <w:tc>
          <w:tcPr>
            <w:tcW w:w="7800" w:type="dxa"/>
            <w:noWrap/>
          </w:tcPr>
          <w:p>
            <w:pPr/>
            <w:r>
              <w:rPr/>
              <w:t xml:space="preserve">Económica</w:t>
            </w:r>
          </w:p>
        </w:tc>
        <w:tc>
          <w:tcPr>
            <w:tcW w:w="7800" w:type="dxa"/>
            <w:noWrap/>
          </w:tcPr>
          <w:p>
            <w:pPr/>
            <w:r>
              <w:rPr/>
              <w:t xml:space="preserve">Grand Hotel Orlando at Universal Blvd. (Resort Fee) (Desayuno incluido)</w:t>
            </w:r>
          </w:p>
        </w:tc>
        <w:tc>
          <w:tcPr>
            <w:tcW w:w="7800" w:type="dxa"/>
            <w:noWrap/>
          </w:tcPr>
          <w:p>
            <w:pPr/>
            <w:r>
              <w:rPr/>
              <w:t xml:space="preserve">Red Roof Plus + Miami Airport (Desayuno incluido)</w:t>
            </w:r>
          </w:p>
        </w:tc>
      </w:tr>
      <w:tr>
        <w:trPr/>
        <w:tc>
          <w:tcPr>
            <w:tcW w:w="7800" w:type="dxa"/>
            <w:noWrap/>
          </w:tcPr>
          <w:p>
            <w:pPr/>
            <w:r>
              <w:rPr/>
              <w:t xml:space="preserve">Mi Casa Hotel, Turkey Lake Rd. (Resort Fee)</w:t>
            </w:r>
          </w:p>
        </w:tc>
        <w:tc>
          <w:tcPr>
            <w:tcW w:w="7800" w:type="dxa"/>
            <w:noWrap/>
          </w:tcPr>
          <w:p>
            <w:pPr/>
            <w:r>
              <w:rPr/>
              <w:t xml:space="preserve">Quality Inn Miami Airport (Desayuno incluido)</w:t>
            </w:r>
          </w:p>
        </w:tc>
      </w:tr>
      <w:tr>
        <w:trPr/>
        <w:tc>
          <w:tcPr>
            <w:tcW w:w="7800" w:type="dxa"/>
            <w:noWrap/>
          </w:tcPr>
          <w:p>
            <w:pPr/>
            <w:r>
              <w:rPr/>
              <w:t xml:space="preserve">Turista</w:t>
            </w:r>
          </w:p>
        </w:tc>
        <w:tc>
          <w:tcPr>
            <w:tcW w:w="7800" w:type="dxa"/>
            <w:noWrap/>
          </w:tcPr>
          <w:p>
            <w:pPr/>
            <w:r>
              <w:rPr/>
              <w:t xml:space="preserve">Rosen Inn Lake Buena Vista.</w:t>
            </w:r>
          </w:p>
        </w:tc>
        <w:tc>
          <w:tcPr>
            <w:tcW w:w="7800" w:type="dxa"/>
            <w:noWrap/>
          </w:tcPr>
          <w:p>
            <w:pPr/>
            <w:r>
              <w:rPr/>
              <w:t xml:space="preserve">Holiday Inn Express Miami Spring (Desayuno incluido)</w:t>
            </w:r>
          </w:p>
        </w:tc>
      </w:tr>
      <w:tr>
        <w:trPr/>
        <w:tc>
          <w:tcPr>
            <w:tcW w:w="7800" w:type="dxa"/>
            <w:noWrap/>
          </w:tcPr>
          <w:p>
            <w:pPr/>
            <w:r>
              <w:rPr/>
              <w:t xml:space="preserve">Clarion Inn  Suites at International Drive. (Resort Fee)</w:t>
            </w:r>
          </w:p>
        </w:tc>
        <w:tc>
          <w:tcPr>
            <w:tcW w:w="7800" w:type="dxa"/>
            <w:noWrap/>
          </w:tcPr>
          <w:p>
            <w:pPr/>
            <w:r>
              <w:rPr/>
              <w:t xml:space="preserve">Regency Hotel Miami.</w:t>
            </w:r>
          </w:p>
        </w:tc>
      </w:tr>
      <w:tr>
        <w:trPr/>
        <w:tc>
          <w:tcPr>
            <w:tcW w:w="7800" w:type="dxa"/>
            <w:noWrap/>
          </w:tcPr>
          <w:p>
            <w:pPr/>
            <w:r>
              <w:rPr/>
              <w:t xml:space="preserve">Turista Superior</w:t>
            </w:r>
          </w:p>
        </w:tc>
        <w:tc>
          <w:tcPr>
            <w:tcW w:w="7800" w:type="dxa"/>
            <w:noWrap/>
          </w:tcPr>
          <w:p>
            <w:pPr/>
            <w:r>
              <w:rPr/>
              <w:t xml:space="preserve">Holiday Inn Express  Suites Nearest Universal. (Desayuno incluido)</w:t>
            </w:r>
          </w:p>
        </w:tc>
        <w:tc>
          <w:tcPr>
            <w:tcW w:w="7800" w:type="dxa"/>
            <w:noWrap/>
          </w:tcPr>
          <w:p>
            <w:pPr/>
            <w:r>
              <w:rPr/>
              <w:t xml:space="preserve">Holiday Inn Express Miami Airport Doral Área (Desayuno incluido)</w:t>
            </w:r>
          </w:p>
        </w:tc>
      </w:tr>
      <w:tr>
        <w:trPr/>
        <w:tc>
          <w:tcPr>
            <w:tcW w:w="7800" w:type="dxa"/>
            <w:noWrap/>
          </w:tcPr>
          <w:p>
            <w:pPr/>
            <w:r>
              <w:rPr/>
              <w:t xml:space="preserve">Hampton Inn Nearest Universal Orlando. (Desayuno incluido)</w:t>
            </w:r>
          </w:p>
        </w:tc>
        <w:tc>
          <w:tcPr>
            <w:tcW w:w="7800" w:type="dxa"/>
            <w:noWrap/>
          </w:tcPr>
          <w:p>
            <w:pPr/>
            <w:r>
              <w:rPr/>
              <w:t xml:space="preserve">TRU By Hilton Miami Blue Lagoon (Desayuno incluido)</w:t>
            </w:r>
          </w:p>
        </w:tc>
      </w:tr>
      <w:tr>
        <w:trPr/>
        <w:tc>
          <w:tcPr>
            <w:tcW w:w="7800" w:type="dxa"/>
            <w:noWrap/>
          </w:tcPr>
          <w:p>
            <w:pPr/>
            <w:r>
              <w:rPr/>
              <w:t xml:space="preserve">Holiday Inn Express  Suites Orlando. (Desayuno incluido)</w:t>
            </w:r>
          </w:p>
        </w:tc>
      </w:tr>
      <w:tr>
        <w:trPr/>
        <w:tc>
          <w:tcPr>
            <w:tcW w:w="7800" w:type="dxa"/>
            <w:noWrap/>
          </w:tcPr>
          <w:p>
            <w:pPr/>
            <w:r>
              <w:rPr/>
              <w:t xml:space="preserve">Primera</w:t>
            </w:r>
          </w:p>
        </w:tc>
        <w:tc>
          <w:tcPr>
            <w:tcW w:w="7800" w:type="dxa"/>
            <w:noWrap/>
          </w:tcPr>
          <w:p>
            <w:pPr/>
            <w:r>
              <w:rPr/>
              <w:t xml:space="preserve">Fairfield inn  Suites Orlando Marriot Village. (Desayuno incluido)</w:t>
            </w:r>
          </w:p>
        </w:tc>
        <w:tc>
          <w:tcPr>
            <w:tcW w:w="7800" w:type="dxa"/>
            <w:noWrap/>
          </w:tcPr>
          <w:p>
            <w:pPr/>
            <w:r>
              <w:rPr/>
              <w:t xml:space="preserve">Fourt Points by Sheraton Miami Airport</w:t>
            </w:r>
          </w:p>
        </w:tc>
      </w:tr>
      <w:tr>
        <w:trPr/>
        <w:tc>
          <w:tcPr>
            <w:tcW w:w="7800" w:type="dxa"/>
            <w:noWrap/>
          </w:tcPr>
          <w:p>
            <w:pPr/>
            <w:r>
              <w:rPr/>
              <w:t xml:space="preserve">SpringHill Suites Orlando Convention Center. (Desayuno incluido)</w:t>
            </w:r>
          </w:p>
        </w:tc>
        <w:tc>
          <w:tcPr>
            <w:tcW w:w="7800" w:type="dxa"/>
            <w:noWrap/>
          </w:tcPr>
          <w:p>
            <w:pPr/>
            <w:r>
              <w:rPr/>
              <w:t xml:space="preserve">SpringHill Suites Miami Airport (Desayuno incluido)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en Miami.</w:t>
      </w:r>
    </w:p>
    <w:p>
      <w:pPr>
        <w:numPr>
          <w:ilvl w:val="1"/>
          <w:numId w:val="6"/>
        </w:numPr>
      </w:pPr>
      <w:r>
        <w:rPr/>
        <w:t xml:space="preserve">1 noche de alojamiento de acuerdo con la categoría en Miami.</w:t>
      </w:r>
    </w:p>
    <w:p>
      <w:pPr>
        <w:numPr>
          <w:ilvl w:val="1"/>
          <w:numId w:val="6"/>
        </w:numPr>
      </w:pPr>
      <w:r>
        <w:rPr/>
        <w:t xml:space="preserve">Traslado en autobús de Miami a Orlando servicio regular.</w:t>
      </w:r>
    </w:p>
    <w:p>
      <w:pPr>
        <w:numPr>
          <w:ilvl w:val="1"/>
          <w:numId w:val="6"/>
        </w:numPr>
      </w:pPr>
      <w:r>
        <w:rPr/>
        <w:t xml:space="preserve">2 noches de alojamiento de acuerdo con la categoría en Orlando.</w:t>
      </w:r>
    </w:p>
    <w:p>
      <w:pPr>
        <w:numPr>
          <w:ilvl w:val="1"/>
          <w:numId w:val="6"/>
        </w:numPr>
      </w:pPr>
      <w:r>
        <w:rPr/>
        <w:t xml:space="preserve">Traslado ida y vuelta para 1 día Disney (NO incluye admisión, valor por separado).</w:t>
      </w:r>
    </w:p>
    <w:p>
      <w:pPr>
        <w:numPr>
          <w:ilvl w:val="1"/>
          <w:numId w:val="6"/>
        </w:numPr>
      </w:pPr>
      <w:r>
        <w:rPr/>
        <w:t xml:space="preserve">Ingreso a SeaWorld con traslado ida y vuelta.</w:t>
      </w:r>
    </w:p>
    <w:p>
      <w:pPr>
        <w:numPr>
          <w:ilvl w:val="1"/>
          <w:numId w:val="6"/>
        </w:numPr>
      </w:pPr>
      <w:r>
        <w:rPr/>
        <w:t xml:space="preserve">Traslado ida y vuelta para compras (todo el día).</w:t>
      </w:r>
    </w:p>
    <w:p>
      <w:pPr>
        <w:numPr>
          <w:ilvl w:val="1"/>
          <w:numId w:val="6"/>
        </w:numPr>
      </w:pPr>
      <w:r>
        <w:rPr/>
        <w:t xml:space="preserve">Traslado en autobús de Orlando a Miami servicio regular.</w:t>
      </w:r>
    </w:p>
    <w:p>
      <w:pPr>
        <w:numPr>
          <w:ilvl w:val="1"/>
          <w:numId w:val="6"/>
        </w:numPr>
      </w:pPr>
      <w:r>
        <w:rPr/>
        <w:t xml:space="preserve">1 noche de alojamiento de acuerdo con la categoría en Miami.</w:t>
      </w:r>
    </w:p>
    <w:p>
      <w:pPr>
        <w:numPr>
          <w:ilvl w:val="1"/>
          <w:numId w:val="6"/>
        </w:numPr>
      </w:pPr>
      <w:r>
        <w:rPr/>
        <w:t xml:space="preserve">Traslado de salida hotel al Aeropuerto Internacional en Miami.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Admisión a parque de Disney (Valor adicional de acuerdo con la fecha estimada de viaje)</w:t>
      </w:r>
    </w:p>
    <w:p>
      <w:pPr>
        <w:numPr>
          <w:ilvl w:val="1"/>
          <w:numId w:val="6"/>
        </w:numPr>
      </w:pPr>
      <w:r>
        <w:rPr/>
        <w:t xml:space="preserve">Creación y reserva de perfil en el portal My Disney Experience.</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C03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B375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A6EEF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F5BA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6703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A56D6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2025-04-02T11:19:54+00:00</dcterms:created>
  <dcterms:modified xsi:type="dcterms:W3CDTF">2025-04-02T11:19:54+00:00</dcterms:modified>
</cp:coreProperties>
</file>

<file path=docProps/custom.xml><?xml version="1.0" encoding="utf-8"?>
<Properties xmlns="http://schemas.openxmlformats.org/officeDocument/2006/custom-properties" xmlns:vt="http://schemas.openxmlformats.org/officeDocument/2006/docPropsVTypes"/>
</file>