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DEL OESTE                    </w:t>
      </w:r>
    </w:p>
    <w:p>
      <w:pPr/>
      <w:r>
        <w:rPr>
          <w:rFonts w:ascii="Arial" w:hAnsi="Arial" w:eastAsia="Arial" w:cs="Arial"/>
          <w:color w:val="light"/>
          <w:sz w:val="22"/>
          <w:szCs w:val="22"/>
          <w:b w:val="0"/>
          <w:bCs w:val="0"/>
        </w:rPr>
        <w:t xml:space="preserve">MTC - 48038</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$2559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Los Angeles, </w:t>
      </w:r>
      <w:r>
        <w:rPr/>
        <w:t xml:space="preserve">Gran Cañon, </w:t>
      </w:r>
      <w:r>
        <w:rPr/>
        <w:t xml:space="preserve">Page, </w:t>
      </w:r>
      <w:r>
        <w:rPr/>
        <w:t xml:space="preserve">Bryce Canyon, </w:t>
      </w:r>
      <w:r>
        <w:rPr/>
        <w:t xml:space="preserve">Las Vegas, </w:t>
      </w:r>
      <w:r>
        <w:rPr/>
        <w:t xml:space="preserve">Mammoth Lakes, </w:t>
      </w:r>
      <w:r>
        <w:rPr/>
        <w:t xml:space="preserve">Oakhurst, </w:t>
      </w:r>
      <w:r>
        <w:rPr/>
        <w:t xml:space="preserve">San Francisco,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LOS ÁNGELES.</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LOS ÁNGELES.</w:t>
      </w:r>
    </w:p>
    <w:p>
      <w:pPr/>
      <w:r>
        <w:rPr>
          <w:b w:val="1"/>
          <w:bCs w:val="1"/>
        </w:rPr>
        <w:t xml:space="preserve">Desayuno Americano</w:t>
      </w:r>
      <w:r>
        <w:rPr/>
        <w:t xml:space="preserve">. Por la mañana recogida en su hotel en Los Ángeles para iniciar el paseo por las áreas de mayor interés: Downtown, Distrito Financiero, Dorothy Chandler Pavilion, Plaza Olvera. Continuamos hacia Hollywood donde apreciaremos el Teatro Dolby (entrega de los Oscars), el Teatro Chino, la Avenida de las Estrellas y Sunset Blvd; nuestro paseo continuo hacia la zona residencial de Beverly Hills, regreso a su hotel. Tarde libre. </w:t>
      </w:r>
      <w:r>
        <w:rPr>
          <w:b w:val="1"/>
          <w:bCs w:val="1"/>
        </w:rPr>
        <w:t xml:space="preserve">Alojamiento</w:t>
      </w:r>
      <w:r>
        <w:rPr/>
        <w:t xml:space="preserve">.</w:t>
      </w:r>
    </w:p>
    <w:p>
      <w:pPr/>
      <w:r>
        <w:rPr/>
        <w:t xml:space="preserve"> </w:t>
      </w:r>
    </w:p>
    <w:p>
      <w:pPr/>
      <w:r>
        <w:rPr>
          <w:b w:val="1"/>
          <w:bCs w:val="1"/>
        </w:rPr>
        <w:t xml:space="preserve">DÍA 03 LOS ÁNGELES – GRAND CANYON.</w:t>
      </w:r>
    </w:p>
    <w:p>
      <w:pPr/>
      <w:r>
        <w:rPr>
          <w:b w:val="1"/>
          <w:bCs w:val="1"/>
        </w:rPr>
        <w:t xml:space="preserve">Desayuno Americano</w:t>
      </w:r>
      <w:r>
        <w:rPr/>
        <w:t xml:space="preserve">. Temprano en la mañana salida para el Grand Canyon (South Rim), cruzando por los desiertos de Mojave y Arizona con parada en Seligman para ver un puesto de descanso de la mítica Ruta 66. Llegada en ultimas horas de la tarde. </w:t>
      </w:r>
      <w:r>
        <w:rPr>
          <w:b w:val="1"/>
          <w:bCs w:val="1"/>
        </w:rPr>
        <w:t xml:space="preserve">Alojamiento</w:t>
      </w:r>
      <w:r>
        <w:rPr/>
        <w:t xml:space="preserve">. *Durante el invierno Noviembre-Abril el puesto está cerrado.</w:t>
      </w:r>
    </w:p>
    <w:p>
      <w:pPr/>
      <w:r>
        <w:rPr/>
        <w:t xml:space="preserve"> </w:t>
      </w:r>
    </w:p>
    <w:p>
      <w:pPr/>
      <w:r>
        <w:rPr>
          <w:b w:val="1"/>
          <w:bCs w:val="1"/>
        </w:rPr>
        <w:t xml:space="preserve">DÍA 04 GRAND CANYON – MONUMENT VALLEY – LAKE POWELL – PAGE.</w:t>
      </w:r>
    </w:p>
    <w:p>
      <w:pPr/>
      <w:r>
        <w:rPr>
          <w:b w:val="1"/>
          <w:bCs w:val="1"/>
        </w:rPr>
        <w:t xml:space="preserve">Desayuno Americano</w:t>
      </w:r>
      <w:r>
        <w:rPr/>
        <w:t xml:space="preserve">. Por la mañana visitaremos el Grand Canyon (South Rim) con oportunidad de fotografiarlo desde varios puntos de atracción. Luego partimos hacia Monument Valley, la gran depresión situada en la reserva de los indios Navajos. Tendrán la oportunidad de hacer una excursión por dentro del valle místico de los Navajos en un vehículo a todo terreno con un guía Navajo (excursión no incluida) o tomar fotografías desde los miradores. Luego continuamos nuestro camino final hacia Lake Powell. </w:t>
      </w:r>
      <w:r>
        <w:rPr>
          <w:b w:val="1"/>
          <w:bCs w:val="1"/>
        </w:rPr>
        <w:t xml:space="preserve">Alojamiento</w:t>
      </w:r>
      <w:r>
        <w:rPr/>
        <w:t xml:space="preserve">.</w:t>
      </w:r>
    </w:p>
    <w:p>
      <w:pPr/>
      <w:r>
        <w:rPr/>
        <w:t xml:space="preserve"> </w:t>
      </w:r>
    </w:p>
    <w:p>
      <w:pPr/>
      <w:r>
        <w:rPr>
          <w:b w:val="1"/>
          <w:bCs w:val="1"/>
        </w:rPr>
        <w:t xml:space="preserve">DÍA 05 PAGE – HORSESHOE BEND – ANTELOPE – LAKE POWELL – BRYCE CANYON.</w:t>
      </w:r>
    </w:p>
    <w:p>
      <w:pPr/>
      <w:r>
        <w:rPr>
          <w:b w:val="1"/>
          <w:bCs w:val="1"/>
        </w:rPr>
        <w:t xml:space="preserve">Desayuno Continental</w:t>
      </w:r>
      <w:r>
        <w:rPr/>
        <w:t xml:space="preserve">. Temprano en la mañana saldremos a visitar Horseshoe Bend donde pueden apreciar una de las pocas curvas de 180 grados del rio Colorado y podrán notar el cambio de coloración del agua del rio entre azul y tonos turquesas, tendrán la oportunidad de caminar sobre pequeñas dunas de arenas coloradas. A continuación, tour de Antelope Canyon uno de los puntos más pintorescos de la zona. Luego seguimos viaje por la zona de Lake Powell el lago artificial más grande de Estados Unidos hasta llegar a Bryce en horas de la tarde para caminar y apreciar el panorama de este hermoso parque. </w:t>
      </w:r>
      <w:r>
        <w:rPr>
          <w:b w:val="1"/>
          <w:bCs w:val="1"/>
        </w:rPr>
        <w:t xml:space="preserve">Alojamiento</w:t>
      </w:r>
      <w:r>
        <w:rPr/>
        <w:t xml:space="preserve">.</w:t>
      </w:r>
    </w:p>
    <w:p>
      <w:pPr/>
      <w:r>
        <w:rPr/>
        <w:t xml:space="preserve"> </w:t>
      </w:r>
    </w:p>
    <w:p>
      <w:pPr/>
      <w:r>
        <w:rPr>
          <w:b w:val="1"/>
          <w:bCs w:val="1"/>
        </w:rPr>
        <w:t xml:space="preserve">DÍA 06 BRYCE – ZION – LAS VEGAS.</w:t>
      </w:r>
    </w:p>
    <w:p>
      <w:pPr/>
      <w:r>
        <w:rPr>
          <w:b w:val="1"/>
          <w:bCs w:val="1"/>
        </w:rPr>
        <w:t xml:space="preserve">Desayuno Americano</w:t>
      </w:r>
      <w:r>
        <w:rPr/>
        <w:t xml:space="preserve">. Partimos de Bryce hacia el parque Nacional Zion, luego de visitarlo nos dirigiremos a Las Vegas con llegada en horas de la tarde, ciudad de luces, fantasía y capital del juego. </w:t>
      </w:r>
      <w:r>
        <w:rPr>
          <w:b w:val="1"/>
          <w:bCs w:val="1"/>
        </w:rPr>
        <w:t xml:space="preserve">Alojamiento</w:t>
      </w:r>
      <w:r>
        <w:rPr/>
        <w:t xml:space="preserve">.</w:t>
      </w:r>
    </w:p>
    <w:p>
      <w:pPr/>
      <w:r>
        <w:rPr/>
        <w:t xml:space="preserve"> </w:t>
      </w:r>
    </w:p>
    <w:p>
      <w:pPr/>
      <w:r>
        <w:rPr>
          <w:b w:val="1"/>
          <w:bCs w:val="1"/>
        </w:rPr>
        <w:t xml:space="preserve">DÍA 07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08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p>
    <w:p>
      <w:pPr/>
      <w:r>
        <w:rPr/>
        <w:t xml:space="preserve"> </w:t>
      </w:r>
    </w:p>
    <w:p>
      <w:pPr/>
      <w:r>
        <w:rPr>
          <w:b w:val="1"/>
          <w:bCs w:val="1"/>
        </w:rPr>
        <w:t xml:space="preserve">DÍA 09 MAMMOTH LAKES O OAKHURST – YOSEMITE – SAN FRANCISCO.</w:t>
      </w:r>
    </w:p>
    <w:p>
      <w:pPr/>
      <w:r>
        <w:rPr>
          <w:b w:val="1"/>
          <w:bCs w:val="1"/>
        </w:rPr>
        <w:t xml:space="preserve">Desayuno Americano</w:t>
      </w:r>
      <w:r>
        <w:rPr/>
        <w:t xml:space="preserve">. Temprano en la mañana viajamos hacia el Parque Nacional de Yosemite donde tenemos la oportunidad de apreciar la naturaleza en su puro esplendor. Seguimos hacia San Francisco atravesando el valle de San Joaquín, llegada al hotel. </w:t>
      </w:r>
      <w:r>
        <w:rPr>
          <w:b w:val="1"/>
          <w:bCs w:val="1"/>
        </w:rPr>
        <w:t xml:space="preserve">Alojamiento</w:t>
      </w:r>
      <w:r>
        <w:rPr/>
        <w:t xml:space="preserve">.</w:t>
      </w:r>
    </w:p>
    <w:p>
      <w:pPr/>
      <w:r>
        <w:rPr/>
        <w:t xml:space="preserve"> </w:t>
      </w:r>
    </w:p>
    <w:p>
      <w:pPr/>
      <w:r>
        <w:rPr>
          <w:b w:val="1"/>
          <w:bCs w:val="1"/>
        </w:rPr>
        <w:t xml:space="preserve">DÍA 10 SAN FRANCISCO.</w:t>
      </w:r>
    </w:p>
    <w:p>
      <w:pPr/>
      <w:r>
        <w:rPr>
          <w:b w:val="1"/>
          <w:bCs w:val="1"/>
        </w:rPr>
        <w:t xml:space="preserve">Desayuno Americano. </w:t>
      </w:r>
      <w:r>
        <w:rPr/>
        <w:t xml:space="preserve">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 un crucero Alcatraz o Sausalito. (Para añadir Alcatraz, recomendamos hacerlo 30 días antes de su viaje ya que se agota la entrada con mucha antelación). Los demás, regresamos al hotel y tarde libre.</w:t>
      </w:r>
      <w:r>
        <w:rPr>
          <w:b w:val="1"/>
          <w:bCs w:val="1"/>
        </w:rPr>
        <w:t xml:space="preserve"> Alojamiento.</w:t>
      </w:r>
    </w:p>
    <w:p>
      <w:pPr/>
      <w:r>
        <w:rPr/>
        <w:t xml:space="preserve"> </w:t>
      </w:r>
    </w:p>
    <w:p>
      <w:pPr/>
      <w:r>
        <w:rPr>
          <w:b w:val="1"/>
          <w:bCs w:val="1"/>
        </w:rPr>
        <w:t xml:space="preserve">DÍA 11 SAN FRANCISCO.</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FECHAS DE LLEGADA A LOS ÁNGELES.</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08</w:t>
            </w:r>
          </w:p>
        </w:tc>
        <w:tc>
          <w:tcPr>
            <w:tcW w:w="7800" w:type="dxa"/>
            <w:noWrap/>
          </w:tcPr>
          <w:p>
            <w:pPr>
              <w:jc w:val="start"/>
              <w:spacing w:before="0" w:after="0"/>
            </w:pPr>
            <w:r>
              <w:rPr/>
              <w:t xml:space="preserve">22</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21.</w:t>
            </w:r>
          </w:p>
        </w:tc>
        <w:tc>
          <w:tcPr>
            <w:tcW w:w="7800" w:type="dxa"/>
            <w:noWrap/>
          </w:tcPr>
          <w:p>
            <w:pPr>
              <w:jc w:val="start"/>
              <w:spacing w:before="0" w:after="0"/>
            </w:pPr>
            <w:r>
              <w:rPr/>
              <w:t xml:space="preserve">USD 3.085</w:t>
            </w:r>
          </w:p>
        </w:tc>
        <w:tc>
          <w:tcPr>
            <w:tcW w:w="7800" w:type="dxa"/>
            <w:noWrap/>
          </w:tcPr>
          <w:p>
            <w:pPr>
              <w:jc w:val="start"/>
              <w:spacing w:before="0" w:after="0"/>
            </w:pPr>
            <w:r>
              <w:rPr/>
              <w:t xml:space="preserve">USD 2.729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4.499</w:t>
            </w:r>
          </w:p>
        </w:tc>
        <w:tc>
          <w:tcPr>
            <w:tcW w:w="7800" w:type="dxa"/>
            <w:noWrap/>
          </w:tcPr>
          <w:p>
            <w:pPr>
              <w:jc w:val="start"/>
              <w:spacing w:before="0" w:after="0"/>
            </w:pPr>
            <w:r>
              <w:rPr/>
              <w:t xml:space="preserve">USD 1.699</w:t>
            </w:r>
          </w:p>
        </w:tc>
      </w:tr>
      <w:tr>
        <w:trPr/>
        <w:tc>
          <w:tcPr>
            <w:tcW w:w="7800" w:type="dxa"/>
            <w:noWrap/>
          </w:tcPr>
          <w:p>
            <w:pPr>
              <w:jc w:val="start"/>
              <w:spacing w:before="0" w:after="0"/>
            </w:pPr>
            <w:r>
              <w:rPr>
                <w:b w:val="1"/>
                <w:bCs w:val="1"/>
              </w:rPr>
              <w:t xml:space="preserve">Junio 2025: </w:t>
            </w:r>
            <w:r>
              <w:rPr/>
              <w:t xml:space="preserve">18.</w:t>
            </w:r>
          </w:p>
        </w:tc>
        <w:tc>
          <w:tcPr>
            <w:tcW w:w="7800" w:type="dxa"/>
            <w:noWrap/>
          </w:tcPr>
          <w:p>
            <w:pPr>
              <w:jc w:val="start"/>
              <w:spacing w:before="0" w:after="0"/>
            </w:pPr>
            <w:r>
              <w:rPr/>
              <w:t xml:space="preserve">USD 3.085</w:t>
            </w:r>
          </w:p>
        </w:tc>
        <w:tc>
          <w:tcPr>
            <w:tcW w:w="7800" w:type="dxa"/>
            <w:noWrap/>
          </w:tcPr>
          <w:p>
            <w:pPr>
              <w:jc w:val="start"/>
              <w:spacing w:before="0" w:after="0"/>
            </w:pPr>
            <w:r>
              <w:rPr/>
              <w:t xml:space="preserve">USD 2.729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4.499</w:t>
            </w:r>
          </w:p>
        </w:tc>
        <w:tc>
          <w:tcPr>
            <w:tcW w:w="7800" w:type="dxa"/>
            <w:noWrap/>
          </w:tcPr>
          <w:p>
            <w:pPr>
              <w:jc w:val="start"/>
              <w:spacing w:before="0" w:after="0"/>
            </w:pPr>
            <w:r>
              <w:rPr/>
              <w:t xml:space="preserve">USD 1.699</w:t>
            </w:r>
          </w:p>
        </w:tc>
      </w:tr>
      <w:tr>
        <w:trPr/>
        <w:tc>
          <w:tcPr>
            <w:tcW w:w="7800" w:type="dxa"/>
            <w:noWrap/>
          </w:tcPr>
          <w:p>
            <w:pPr>
              <w:jc w:val="start"/>
              <w:spacing w:before="0" w:after="0"/>
            </w:pPr>
            <w:r>
              <w:rPr>
                <w:b w:val="1"/>
                <w:bCs w:val="1"/>
              </w:rPr>
              <w:t xml:space="preserve">Julio 2025: </w:t>
            </w:r>
            <w:r>
              <w:rPr/>
              <w:t xml:space="preserve">09, 23.</w:t>
            </w:r>
          </w:p>
        </w:tc>
        <w:tc>
          <w:tcPr>
            <w:tcW w:w="7800" w:type="dxa"/>
            <w:noWrap/>
          </w:tcPr>
          <w:p>
            <w:pPr>
              <w:jc w:val="start"/>
              <w:spacing w:before="0" w:after="0"/>
            </w:pPr>
            <w:r>
              <w:rPr/>
              <w:t xml:space="preserve">USD 3.085</w:t>
            </w:r>
          </w:p>
        </w:tc>
        <w:tc>
          <w:tcPr>
            <w:tcW w:w="7800" w:type="dxa"/>
            <w:noWrap/>
          </w:tcPr>
          <w:p>
            <w:pPr>
              <w:jc w:val="start"/>
              <w:spacing w:before="0" w:after="0"/>
            </w:pPr>
            <w:r>
              <w:rPr/>
              <w:t xml:space="preserve">USD 2.729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4.499</w:t>
            </w:r>
          </w:p>
        </w:tc>
        <w:tc>
          <w:tcPr>
            <w:tcW w:w="7800" w:type="dxa"/>
            <w:noWrap/>
          </w:tcPr>
          <w:p>
            <w:pPr>
              <w:jc w:val="start"/>
              <w:spacing w:before="0" w:after="0"/>
            </w:pPr>
            <w:r>
              <w:rPr/>
              <w:t xml:space="preserve">USD 1.699</w:t>
            </w:r>
          </w:p>
        </w:tc>
      </w:tr>
      <w:tr>
        <w:trPr/>
        <w:tc>
          <w:tcPr>
            <w:tcW w:w="7800" w:type="dxa"/>
            <w:noWrap/>
          </w:tcPr>
          <w:p>
            <w:pPr>
              <w:jc w:val="start"/>
              <w:spacing w:before="0" w:after="0"/>
            </w:pPr>
            <w:r>
              <w:rPr>
                <w:b w:val="1"/>
                <w:bCs w:val="1"/>
              </w:rPr>
              <w:t xml:space="preserve">Agosto 2025: </w:t>
            </w:r>
            <w:r>
              <w:rPr/>
              <w:t xml:space="preserve">06, 20.</w:t>
            </w:r>
          </w:p>
        </w:tc>
        <w:tc>
          <w:tcPr>
            <w:tcW w:w="7800" w:type="dxa"/>
            <w:noWrap/>
          </w:tcPr>
          <w:p>
            <w:pPr>
              <w:jc w:val="start"/>
              <w:spacing w:before="0" w:after="0"/>
            </w:pPr>
            <w:r>
              <w:rPr/>
              <w:t xml:space="preserve">USD 3.085</w:t>
            </w:r>
          </w:p>
        </w:tc>
        <w:tc>
          <w:tcPr>
            <w:tcW w:w="7800" w:type="dxa"/>
            <w:noWrap/>
          </w:tcPr>
          <w:p>
            <w:pPr>
              <w:jc w:val="start"/>
              <w:spacing w:before="0" w:after="0"/>
            </w:pPr>
            <w:r>
              <w:rPr/>
              <w:t xml:space="preserve">USD 2.729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4.499</w:t>
            </w:r>
          </w:p>
        </w:tc>
        <w:tc>
          <w:tcPr>
            <w:tcW w:w="7800" w:type="dxa"/>
            <w:noWrap/>
          </w:tcPr>
          <w:p>
            <w:pPr>
              <w:jc w:val="start"/>
              <w:spacing w:before="0" w:after="0"/>
            </w:pPr>
            <w:r>
              <w:rPr/>
              <w:t xml:space="preserve">USD 1.699</w:t>
            </w:r>
          </w:p>
        </w:tc>
      </w:tr>
      <w:tr>
        <w:trPr/>
        <w:tc>
          <w:tcPr>
            <w:tcW w:w="7800" w:type="dxa"/>
            <w:noWrap/>
          </w:tcPr>
          <w:p>
            <w:pPr>
              <w:jc w:val="start"/>
              <w:spacing w:before="0" w:after="0"/>
            </w:pPr>
            <w:r>
              <w:rPr>
                <w:b w:val="1"/>
                <w:bCs w:val="1"/>
              </w:rPr>
              <w:t xml:space="preserve">Septiembre 2025: </w:t>
            </w:r>
            <w:r>
              <w:rPr/>
              <w:t xml:space="preserve">03, 17.</w:t>
            </w:r>
          </w:p>
        </w:tc>
        <w:tc>
          <w:tcPr>
            <w:tcW w:w="7800" w:type="dxa"/>
            <w:noWrap/>
          </w:tcPr>
          <w:p>
            <w:pPr>
              <w:jc w:val="start"/>
              <w:spacing w:before="0" w:after="0"/>
            </w:pPr>
            <w:r>
              <w:rPr/>
              <w:t xml:space="preserve">USD 3.085</w:t>
            </w:r>
          </w:p>
        </w:tc>
        <w:tc>
          <w:tcPr>
            <w:tcW w:w="7800" w:type="dxa"/>
            <w:noWrap/>
          </w:tcPr>
          <w:p>
            <w:pPr>
              <w:jc w:val="start"/>
              <w:spacing w:before="0" w:after="0"/>
            </w:pPr>
            <w:r>
              <w:rPr/>
              <w:t xml:space="preserve">USD 2.729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4.499</w:t>
            </w:r>
          </w:p>
        </w:tc>
        <w:tc>
          <w:tcPr>
            <w:tcW w:w="7800" w:type="dxa"/>
            <w:noWrap/>
          </w:tcPr>
          <w:p>
            <w:pPr>
              <w:jc w:val="start"/>
              <w:spacing w:before="0" w:after="0"/>
            </w:pPr>
            <w:r>
              <w:rPr/>
              <w:t xml:space="preserve">USD 1.699</w:t>
            </w:r>
          </w:p>
        </w:tc>
      </w:tr>
      <w:tr>
        <w:trPr/>
        <w:tc>
          <w:tcPr>
            <w:tcW w:w="7800" w:type="dxa"/>
            <w:noWrap/>
          </w:tcPr>
          <w:p>
            <w:pPr>
              <w:jc w:val="start"/>
              <w:spacing w:before="0" w:after="0"/>
            </w:pPr>
            <w:r>
              <w:rPr>
                <w:b w:val="1"/>
                <w:bCs w:val="1"/>
              </w:rPr>
              <w:t xml:space="preserve">Octubre 2025: </w:t>
            </w:r>
            <w:r>
              <w:rPr/>
              <w:t xml:space="preserve">08, 22.</w:t>
            </w:r>
          </w:p>
        </w:tc>
        <w:tc>
          <w:tcPr>
            <w:tcW w:w="7800" w:type="dxa"/>
            <w:noWrap/>
          </w:tcPr>
          <w:p>
            <w:pPr>
              <w:jc w:val="start"/>
              <w:spacing w:before="0" w:after="0"/>
            </w:pPr>
            <w:r>
              <w:rPr/>
              <w:t xml:space="preserve">USD 3.085</w:t>
            </w:r>
          </w:p>
        </w:tc>
        <w:tc>
          <w:tcPr>
            <w:tcW w:w="7800" w:type="dxa"/>
            <w:noWrap/>
          </w:tcPr>
          <w:p>
            <w:pPr>
              <w:jc w:val="start"/>
              <w:spacing w:before="0" w:after="0"/>
            </w:pPr>
            <w:r>
              <w:rPr/>
              <w:t xml:space="preserve">USD 2.729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4.499</w:t>
            </w:r>
          </w:p>
        </w:tc>
        <w:tc>
          <w:tcPr>
            <w:tcW w:w="7800" w:type="dxa"/>
            <w:noWrap/>
          </w:tcPr>
          <w:p>
            <w:pPr>
              <w:jc w:val="start"/>
              <w:spacing w:before="0" w:after="0"/>
            </w:pPr>
            <w:r>
              <w:rPr/>
              <w:t xml:space="preserve">USD 1.699</w:t>
            </w:r>
          </w:p>
        </w:tc>
      </w:tr>
      <w:tr>
        <w:trPr/>
        <w:tc>
          <w:tcPr>
            <w:tcW w:w="7800" w:type="dxa"/>
            <w:noWrap/>
          </w:tcPr>
          <w:p>
            <w:pPr>
              <w:jc w:val="start"/>
              <w:spacing w:before="0" w:after="0"/>
            </w:pPr>
            <w:r>
              <w:rPr>
                <w:b w:val="1"/>
                <w:bCs w:val="1"/>
              </w:rPr>
              <w:t xml:space="preserve">Marzo 2026: </w:t>
            </w:r>
            <w:r>
              <w:rPr/>
              <w:t xml:space="preserve">25.</w:t>
            </w:r>
          </w:p>
        </w:tc>
        <w:tc>
          <w:tcPr>
            <w:tcW w:w="7800" w:type="dxa"/>
            <w:noWrap/>
          </w:tcPr>
          <w:p>
            <w:pPr>
              <w:jc w:val="start"/>
              <w:spacing w:before="0" w:after="0"/>
            </w:pPr>
            <w:r>
              <w:rPr/>
              <w:t xml:space="preserve">USD 3.085</w:t>
            </w:r>
          </w:p>
        </w:tc>
        <w:tc>
          <w:tcPr>
            <w:tcW w:w="7800" w:type="dxa"/>
            <w:noWrap/>
          </w:tcPr>
          <w:p>
            <w:pPr>
              <w:jc w:val="start"/>
              <w:spacing w:before="0" w:after="0"/>
            </w:pPr>
            <w:r>
              <w:rPr/>
              <w:t xml:space="preserve">USD 2.729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4.499</w:t>
            </w:r>
          </w:p>
        </w:tc>
        <w:tc>
          <w:tcPr>
            <w:tcW w:w="7800" w:type="dxa"/>
            <w:noWrap/>
          </w:tcPr>
          <w:p>
            <w:pPr>
              <w:jc w:val="start"/>
              <w:spacing w:before="0" w:after="0"/>
            </w:pPr>
            <w:r>
              <w:rPr/>
              <w:t xml:space="preserve">USD 1.699</w:t>
            </w:r>
          </w:p>
        </w:tc>
      </w:tr>
      <w:tr>
        <w:trPr/>
        <w:tc>
          <w:tcPr>
            <w:tcW w:w="7800" w:type="dxa"/>
            <w:noWrap/>
          </w:tcPr>
          <w:p>
            <w:pPr>
              <w:jc w:val="start"/>
              <w:spacing w:before="0" w:after="0"/>
            </w:pPr>
            <w:r>
              <w:rPr>
                <w:b w:val="1"/>
                <w:bCs w:val="1"/>
              </w:rPr>
              <w:t xml:space="preserve">Abril 2026: </w:t>
            </w:r>
            <w:r>
              <w:rPr/>
              <w:t xml:space="preserve">15.</w:t>
            </w:r>
          </w:p>
        </w:tc>
        <w:tc>
          <w:tcPr>
            <w:tcW w:w="7800" w:type="dxa"/>
            <w:noWrap/>
          </w:tcPr>
          <w:p>
            <w:pPr>
              <w:jc w:val="start"/>
              <w:spacing w:before="0" w:after="0"/>
            </w:pPr>
            <w:r>
              <w:rPr/>
              <w:t xml:space="preserve">USD 3.085</w:t>
            </w:r>
          </w:p>
        </w:tc>
        <w:tc>
          <w:tcPr>
            <w:tcW w:w="7800" w:type="dxa"/>
            <w:noWrap/>
          </w:tcPr>
          <w:p>
            <w:pPr>
              <w:jc w:val="start"/>
              <w:spacing w:before="0" w:after="0"/>
            </w:pPr>
            <w:r>
              <w:rPr/>
              <w:t xml:space="preserve">USD 2.729</w:t>
            </w:r>
          </w:p>
        </w:tc>
        <w:tc>
          <w:tcPr>
            <w:tcW w:w="7800" w:type="dxa"/>
            <w:noWrap/>
          </w:tcPr>
          <w:p>
            <w:pPr>
              <w:jc w:val="start"/>
              <w:spacing w:before="0" w:after="0"/>
            </w:pPr>
            <w:r>
              <w:rPr/>
              <w:t xml:space="preserve">USD 2.559</w:t>
            </w:r>
          </w:p>
        </w:tc>
        <w:tc>
          <w:tcPr>
            <w:tcW w:w="7800" w:type="dxa"/>
            <w:noWrap/>
          </w:tcPr>
          <w:p>
            <w:pPr>
              <w:jc w:val="start"/>
              <w:spacing w:before="0" w:after="0"/>
            </w:pPr>
            <w:r>
              <w:rPr/>
              <w:t xml:space="preserve">USD 4.499</w:t>
            </w:r>
          </w:p>
        </w:tc>
        <w:tc>
          <w:tcPr>
            <w:tcW w:w="7800" w:type="dxa"/>
            <w:noWrap/>
          </w:tcPr>
          <w:p>
            <w:pPr>
              <w:jc w:val="start"/>
              <w:spacing w:before="0" w:after="0"/>
            </w:pPr>
            <w:r>
              <w:rPr/>
              <w:t xml:space="preserve">USD 1.699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noWrap/>
          </w:tcPr>
          <w:p>
            <w:pPr>
              <w:jc w:val="start"/>
              <w:spacing w:before="0" w:after="0"/>
            </w:pPr>
            <w:r>
              <w:rPr/>
              <w:t xml:space="preserve">Grand Canyon</w:t>
            </w:r>
          </w:p>
        </w:tc>
        <w:tc>
          <w:tcPr>
            <w:tcW w:w="7800" w:type="dxa"/>
            <w:noWrap/>
          </w:tcPr>
          <w:p>
            <w:pPr>
              <w:jc w:val="start"/>
              <w:spacing w:before="0" w:after="0"/>
            </w:pPr>
            <w:r>
              <w:rPr/>
              <w:t xml:space="preserve">Grand Canyon Plaza Hotel.</w:t>
            </w:r>
          </w:p>
        </w:tc>
      </w:tr>
      <w:tr>
        <w:trPr/>
        <w:tc>
          <w:tcPr>
            <w:tcW w:w="7800" w:type="dxa"/>
            <w:noWrap/>
          </w:tcPr>
          <w:p>
            <w:pPr>
              <w:jc w:val="start"/>
              <w:spacing w:before="0" w:after="0"/>
            </w:pPr>
            <w:r>
              <w:rPr/>
              <w:t xml:space="preserve">Page</w:t>
            </w:r>
          </w:p>
        </w:tc>
        <w:tc>
          <w:tcPr>
            <w:tcW w:w="7800" w:type="dxa"/>
            <w:noWrap/>
          </w:tcPr>
          <w:p>
            <w:pPr>
              <w:jc w:val="start"/>
              <w:spacing w:before="0" w:after="0"/>
            </w:pPr>
            <w:r>
              <w:rPr/>
              <w:t xml:space="preserve">Best Western View of Lake Powell</w:t>
            </w:r>
          </w:p>
        </w:tc>
      </w:tr>
      <w:tr>
        <w:trPr/>
        <w:tc>
          <w:tcPr>
            <w:tcW w:w="7800" w:type="dxa"/>
            <w:noWrap/>
          </w:tcPr>
          <w:p>
            <w:pPr>
              <w:jc w:val="start"/>
              <w:spacing w:before="0" w:after="0"/>
            </w:pPr>
            <w:r>
              <w:rPr/>
              <w:t xml:space="preserve">Bryce Canyon</w:t>
            </w:r>
          </w:p>
        </w:tc>
        <w:tc>
          <w:tcPr>
            <w:tcW w:w="7800" w:type="dxa"/>
            <w:noWrap/>
          </w:tcPr>
          <w:p>
            <w:pPr>
              <w:jc w:val="start"/>
              <w:spacing w:before="0" w:after="0"/>
            </w:pPr>
            <w:r>
              <w:rPr/>
              <w:t xml:space="preserve">Best Western PLUS Ruby’s Inn</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noWrap/>
          </w:tcPr>
          <w:p>
            <w:pPr>
              <w:jc w:val="start"/>
              <w:spacing w:before="0" w:after="0"/>
            </w:pPr>
            <w:r>
              <w:rPr/>
              <w:t xml:space="preserve">Mammoth Lakes</w:t>
            </w:r>
          </w:p>
        </w:tc>
        <w:tc>
          <w:tcPr>
            <w:tcW w:w="7800" w:type="dxa"/>
            <w:noWrap/>
          </w:tcPr>
          <w:p>
            <w:pPr>
              <w:jc w:val="start"/>
              <w:spacing w:before="0" w:after="0"/>
            </w:pPr>
            <w:r>
              <w:rPr/>
              <w:t xml:space="preserve">Mammoth Mountain Inn</w:t>
            </w:r>
          </w:p>
        </w:tc>
      </w:tr>
      <w:tr>
        <w:trPr/>
        <w:tc>
          <w:tcPr>
            <w:tcW w:w="7800" w:type="dxa"/>
            <w:noWrap/>
          </w:tcPr>
          <w:p>
            <w:pPr>
              <w:jc w:val="start"/>
              <w:spacing w:before="0" w:after="0"/>
            </w:pPr>
            <w:r>
              <w:rPr/>
              <w:t xml:space="preserve">Oakhurst</w:t>
            </w:r>
          </w:p>
        </w:tc>
        <w:tc>
          <w:tcPr>
            <w:tcW w:w="7800" w:type="dxa"/>
            <w:noWrap/>
          </w:tcPr>
          <w:p>
            <w:pPr>
              <w:jc w:val="start"/>
              <w:spacing w:before="0" w:after="0"/>
            </w:pPr>
            <w:r>
              <w:rPr/>
              <w:t xml:space="preserve">Fairfield Inn  Suites Oakhurst Yosemite.</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7:30 hrs. – Westin Bonaventure Hotel  Suites.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10 noches en hoteles de categoría turista superior.</w:t>
      </w:r>
    </w:p>
    <w:p>
      <w:pPr>
        <w:numPr>
          <w:ilvl w:val="1"/>
          <w:numId w:val="4"/>
        </w:numPr>
      </w:pPr>
      <w:r>
        <w:rPr/>
        <w:t xml:space="preserve">Incluye 10 desayunos; 9 americanos y 1 continental.</w:t>
      </w:r>
    </w:p>
    <w:p>
      <w:pPr>
        <w:numPr>
          <w:ilvl w:val="1"/>
          <w:numId w:val="4"/>
        </w:numPr>
      </w:pPr>
      <w:r>
        <w:rPr/>
        <w:t xml:space="preserve">Incluye admisión a Antílope Canyon y Horseshoe Bend.</w:t>
      </w:r>
    </w:p>
    <w:p>
      <w:pPr>
        <w:numPr>
          <w:ilvl w:val="1"/>
          <w:numId w:val="4"/>
        </w:numPr>
      </w:pPr>
      <w:r>
        <w:rPr/>
        <w:t xml:space="preserve">Incluye admisión a Bryce Canyon y Zion National Park.</w:t>
      </w:r>
    </w:p>
    <w:p>
      <w:pPr>
        <w:numPr>
          <w:ilvl w:val="1"/>
          <w:numId w:val="4"/>
        </w:numPr>
      </w:pPr>
      <w:r>
        <w:rPr/>
        <w:t xml:space="preserve">Incluye admisión a Grand Canyon y Yosemite National Park.</w:t>
      </w:r>
    </w:p>
    <w:p>
      <w:pPr>
        <w:numPr>
          <w:ilvl w:val="1"/>
          <w:numId w:val="4"/>
        </w:numPr>
      </w:pPr>
      <w:r>
        <w:rPr/>
        <w:t xml:space="preserve">Incluye admisión a Monument Valley.</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Los Ángeles.</w:t>
      </w:r>
    </w:p>
    <w:p>
      <w:pPr>
        <w:numPr>
          <w:ilvl w:val="1"/>
          <w:numId w:val="4"/>
        </w:numPr>
      </w:pPr>
      <w:r>
        <w:rPr/>
        <w:t xml:space="preserve">Traslado de salida en San Francisco.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912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6162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D4BF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90A8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2025-05-12T08:17:51+00:00</dcterms:created>
  <dcterms:modified xsi:type="dcterms:W3CDTF">2025-05-12T08:17:51+00:00</dcterms:modified>
</cp:coreProperties>
</file>

<file path=docProps/custom.xml><?xml version="1.0" encoding="utf-8"?>
<Properties xmlns="http://schemas.openxmlformats.org/officeDocument/2006/custom-properties" xmlns:vt="http://schemas.openxmlformats.org/officeDocument/2006/docPropsVTypes"/>
</file>