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DEL ESTE                    </w:t>
      </w:r>
    </w:p>
    <w:p>
      <w:pPr/>
      <w:r>
        <w:rPr>
          <w:rFonts w:ascii="Arial" w:hAnsi="Arial" w:eastAsia="Arial" w:cs="Arial"/>
          <w:color w:val="light"/>
          <w:sz w:val="22"/>
          <w:szCs w:val="22"/>
          <w:b w:val="0"/>
          <w:bCs w:val="0"/>
        </w:rPr>
        <w:t xml:space="preserve">MTC - 48032</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$1230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New York, </w:t>
      </w:r>
      <w:r>
        <w:rPr/>
        <w:t xml:space="preserve">Niagara Falls, </w:t>
      </w:r>
      <w:r>
        <w:rPr/>
        <w:t xml:space="preserve">Boston, </w:t>
      </w:r>
      <w:r>
        <w:rPr/>
        <w:t xml:space="preserve">New York,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NEW YORK.</w:t>
      </w:r>
    </w:p>
    <w:p>
      <w:pPr/>
      <w:r>
        <w:rPr/>
        <w:t xml:space="preserve">Arribo al hotel por cuenta del pasajero. Resto del día libre para actividades personales. </w:t>
      </w:r>
      <w:r>
        <w:rPr>
          <w:b w:val="1"/>
          <w:bCs w:val="1"/>
        </w:rPr>
        <w:t xml:space="preserve">Alojamiento.</w:t>
      </w:r>
    </w:p>
    <w:p>
      <w:pPr/>
      <w:r>
        <w:rPr/>
        <w:t xml:space="preserve"> </w:t>
      </w:r>
    </w:p>
    <w:p>
      <w:pPr/>
      <w:r>
        <w:rPr>
          <w:b w:val="1"/>
          <w:bCs w:val="1"/>
        </w:rPr>
        <w:t xml:space="preserve">DÍA 02 NEW YORK – NIAGARA FALLS.</w:t>
      </w:r>
    </w:p>
    <w:p>
      <w:pPr/>
      <w:r>
        <w:rPr>
          <w:b w:val="1"/>
          <w:bCs w:val="1"/>
        </w:rPr>
        <w:t xml:space="preserve">Desayuno Americano</w:t>
      </w:r>
      <w:r>
        <w:rPr/>
        <w:t xml:space="preserve">. Salida hacia Niagara. Durante el viaje se cruzan los montes Apalaches. La ruta recorre los estados de Pennsylvania y New York. Llegaremos a Niagara en horas de la tarde y acorde a la temporada realizaremos el paseo del barco Maid of the Mist indistintamente en este día o al siguiente. </w:t>
      </w:r>
      <w:r>
        <w:rPr>
          <w:b w:val="1"/>
          <w:bCs w:val="1"/>
        </w:rPr>
        <w:t xml:space="preserve">Alojamiento.</w:t>
      </w:r>
    </w:p>
    <w:p>
      <w:pPr/>
      <w:r>
        <w:rPr/>
        <w:t xml:space="preserve"> </w:t>
      </w:r>
    </w:p>
    <w:p>
      <w:pPr/>
      <w:r>
        <w:rPr>
          <w:b w:val="1"/>
          <w:bCs w:val="1"/>
        </w:rPr>
        <w:t xml:space="preserve">DÍA 03 NIAGARA FALLS – BOSTON.</w:t>
      </w:r>
    </w:p>
    <w:p>
      <w:pPr/>
      <w:r>
        <w:rPr>
          <w:b w:val="1"/>
          <w:bCs w:val="1"/>
        </w:rPr>
        <w:t xml:space="preserve">Desayuno Americano</w:t>
      </w:r>
      <w:r>
        <w:rPr/>
        <w:t xml:space="preserve">. Por la mañana completaremos la visita de las Cataratas del Niagara, donde visitaremos la represa hidroeléctrica, Parque Niagara, Fortín Niagara y el Lago Ontario. A la hora indicada salida hacia la ciudad de Boston donde llegaremos a últimas horas de la tarda. </w:t>
      </w:r>
      <w:r>
        <w:rPr>
          <w:b w:val="1"/>
          <w:bCs w:val="1"/>
        </w:rPr>
        <w:t xml:space="preserve">Alojamiento</w:t>
      </w:r>
      <w:r>
        <w:rPr/>
        <w:t xml:space="preserve">.</w:t>
      </w:r>
    </w:p>
    <w:p>
      <w:pPr/>
      <w:r>
        <w:rPr/>
        <w:t xml:space="preserve"> </w:t>
      </w:r>
    </w:p>
    <w:p>
      <w:pPr/>
      <w:r>
        <w:rPr>
          <w:b w:val="1"/>
          <w:bCs w:val="1"/>
        </w:rPr>
        <w:t xml:space="preserve">DÍA 04 BOSTON.</w:t>
      </w:r>
    </w:p>
    <w:p>
      <w:pPr/>
      <w:r>
        <w:rPr>
          <w:b w:val="1"/>
          <w:bCs w:val="1"/>
        </w:rPr>
        <w:t xml:space="preserve">Desayuno Americano</w:t>
      </w:r>
      <w:r>
        <w:rPr/>
        <w:t xml:space="preserve">. Por la mañana visita de la ciudad: Universidad de Harvard, Plaza Copley frente al cual se encuentra la iglesia de la Trinidad; el barrio de Back Bay; Faneuil Hall (centro comercial); el Mercado Quincy y otros puntos de interés Tarde Libre para visitas facultativas. </w:t>
      </w:r>
      <w:r>
        <w:rPr>
          <w:b w:val="1"/>
          <w:bCs w:val="1"/>
        </w:rPr>
        <w:t xml:space="preserve">Alojamiento</w:t>
      </w:r>
      <w:r>
        <w:rPr/>
        <w:t xml:space="preserve">.</w:t>
      </w:r>
    </w:p>
    <w:p>
      <w:pPr/>
      <w:r>
        <w:rPr/>
        <w:t xml:space="preserve"> </w:t>
      </w:r>
    </w:p>
    <w:p>
      <w:pPr/>
      <w:r>
        <w:rPr>
          <w:b w:val="1"/>
          <w:bCs w:val="1"/>
        </w:rPr>
        <w:t xml:space="preserve">DÍA 05 BOSTON – NEWPORT – NEW YORK.</w:t>
      </w:r>
    </w:p>
    <w:p>
      <w:pPr/>
      <w:r>
        <w:rPr>
          <w:b w:val="1"/>
          <w:bCs w:val="1"/>
        </w:rPr>
        <w:t xml:space="preserve">Desayuno Americano</w:t>
      </w:r>
      <w:r>
        <w:rPr/>
        <w:t xml:space="preserve">. Partimos por la mañana rumbo a la ciudad de Nueva York. En el camino haremos una parada en Newport para ver esta ciudad encantadora conocida como la capital de veleros de Estados Unidos y centro de mansiones de los Astors y Vanderbilts del siglo XIX y sus rasgos de la época de oro, Luego del almuerzo (no incluido) continuaremos hacia a la ciudad de Nueva York donde llegaremos a últimas horas de la tarde. </w:t>
      </w:r>
      <w:r>
        <w:rPr>
          <w:b w:val="1"/>
          <w:bCs w:val="1"/>
        </w:rPr>
        <w:t xml:space="preserve">Alojamiento</w:t>
      </w:r>
      <w:r>
        <w:rPr/>
        <w:t xml:space="preserve">.</w:t>
      </w:r>
    </w:p>
    <w:p>
      <w:pPr/>
      <w:r>
        <w:rPr/>
        <w:t xml:space="preserve"> </w:t>
      </w:r>
    </w:p>
    <w:p>
      <w:pPr/>
      <w:r>
        <w:rPr>
          <w:b w:val="1"/>
          <w:bCs w:val="1"/>
        </w:rPr>
        <w:t xml:space="preserve">DÍA 06 NEW YORK.</w:t>
      </w:r>
    </w:p>
    <w:p>
      <w:pPr/>
      <w:r>
        <w:rPr>
          <w:b w:val="1"/>
          <w:bCs w:val="1"/>
        </w:rPr>
        <w:t xml:space="preserve">Desayuno Americano</w:t>
      </w:r>
      <w:r>
        <w:rPr/>
        <w:t xml:space="preserve">. Visita de la ciudad. En camino al Alto Manhattan a lo largo del Central Park pasaremos por el Lincoln Center, el edificio Dakota y Strawberry Fields. Tras una breve parada en Central Park para ver la placa Imagine en homenaje a John Lennon, continuamos a Harlem. Luego de un recorrido por la zona bajamos por la 5ta Avenida donde veremos los Museos; Metropolitano, Frick y Guggenheim. Pasando frente a la catedral de St Patrick s y Rockefeller Center haremos una breve parada en plaza Madison para tener una vista del Flatiron Building y Empire State. Se continua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Manhattan o regresar en el autobús hasta la calle 34. Resto del día libre. </w:t>
      </w:r>
      <w:r>
        <w:rPr>
          <w:b w:val="1"/>
          <w:bCs w:val="1"/>
        </w:rPr>
        <w:t xml:space="preserve">Alojamiento</w:t>
      </w:r>
      <w:r>
        <w:rPr/>
        <w:t xml:space="preserve">.</w:t>
      </w:r>
    </w:p>
    <w:p>
      <w:pPr/>
      <w:r>
        <w:rPr/>
        <w:t xml:space="preserve"> </w:t>
      </w:r>
    </w:p>
    <w:p>
      <w:pPr/>
      <w:r>
        <w:rPr>
          <w:b w:val="1"/>
          <w:bCs w:val="1"/>
        </w:rPr>
        <w:t xml:space="preserve">DÍA 07 NEW YORK.</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NEW YORK.</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07</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Mayo 2025: </w:t>
            </w:r>
            <w:r>
              <w:rPr/>
              <w:t xml:space="preserve">03, 10, 24, 31</w:t>
            </w:r>
          </w:p>
        </w:tc>
        <w:tc>
          <w:tcPr>
            <w:tcW w:w="7800" w:type="dxa"/>
            <w:noWrap/>
          </w:tcPr>
          <w:p>
            <w:pPr>
              <w:jc w:val="start"/>
              <w:spacing w:before="0" w:after="0"/>
            </w:pPr>
            <w:r>
              <w:rPr/>
              <w:t xml:space="preserve">USD 1.829</w:t>
            </w:r>
          </w:p>
        </w:tc>
        <w:tc>
          <w:tcPr>
            <w:tcW w:w="7800" w:type="dxa"/>
            <w:noWrap/>
          </w:tcPr>
          <w:p>
            <w:pPr>
              <w:jc w:val="start"/>
              <w:spacing w:before="0" w:after="0"/>
            </w:pPr>
            <w:r>
              <w:rPr/>
              <w:t xml:space="preserve">USD 1.532</w:t>
            </w:r>
          </w:p>
        </w:tc>
        <w:tc>
          <w:tcPr>
            <w:tcW w:w="7800" w:type="dxa"/>
            <w:noWrap/>
          </w:tcPr>
          <w:p>
            <w:pPr>
              <w:jc w:val="start"/>
              <w:spacing w:before="0" w:after="0"/>
            </w:pPr>
            <w:r>
              <w:rPr/>
              <w:t xml:space="preserve">USD 1.370</w:t>
            </w:r>
          </w:p>
        </w:tc>
        <w:tc>
          <w:tcPr>
            <w:tcW w:w="7800" w:type="dxa"/>
            <w:noWrap/>
          </w:tcPr>
          <w:p>
            <w:pPr>
              <w:jc w:val="start"/>
              <w:spacing w:before="0" w:after="0"/>
            </w:pPr>
            <w:r>
              <w:rPr/>
              <w:t xml:space="preserve">USD 2.672</w:t>
            </w:r>
          </w:p>
        </w:tc>
        <w:tc>
          <w:tcPr>
            <w:tcW w:w="7800" w:type="dxa"/>
            <w:noWrap/>
          </w:tcPr>
          <w:p>
            <w:pPr>
              <w:jc w:val="start"/>
              <w:spacing w:before="0" w:after="0"/>
            </w:pPr>
            <w:r>
              <w:rPr/>
              <w:t xml:space="preserve">USD 769</w:t>
            </w:r>
          </w:p>
        </w:tc>
      </w:tr>
      <w:tr>
        <w:trPr/>
        <w:tc>
          <w:tcPr>
            <w:tcW w:w="7800" w:type="dxa"/>
            <w:noWrap/>
          </w:tcPr>
          <w:p>
            <w:pPr>
              <w:jc w:val="start"/>
              <w:spacing w:before="0" w:after="0"/>
            </w:pPr>
            <w:r>
              <w:rPr>
                <w:b w:val="1"/>
                <w:bCs w:val="1"/>
              </w:rPr>
              <w:t xml:space="preserve">Mayo 2025: </w:t>
            </w:r>
            <w:r>
              <w:rPr/>
              <w:t xml:space="preserve">17</w:t>
            </w:r>
          </w:p>
        </w:tc>
        <w:tc>
          <w:tcPr>
            <w:tcW w:w="7800" w:type="dxa"/>
            <w:noWrap/>
          </w:tcPr>
          <w:p>
            <w:pPr>
              <w:jc w:val="start"/>
              <w:spacing w:before="0" w:after="0"/>
            </w:pPr>
            <w:r>
              <w:rPr/>
              <w:t xml:space="preserve">USD 2.029</w:t>
            </w:r>
          </w:p>
        </w:tc>
        <w:tc>
          <w:tcPr>
            <w:tcW w:w="7800" w:type="dxa"/>
            <w:noWrap/>
          </w:tcPr>
          <w:p>
            <w:pPr>
              <w:jc w:val="start"/>
              <w:spacing w:before="0" w:after="0"/>
            </w:pPr>
            <w:r>
              <w:rPr/>
              <w:t xml:space="preserve">USD 1.665</w:t>
            </w:r>
          </w:p>
        </w:tc>
        <w:tc>
          <w:tcPr>
            <w:tcW w:w="7800" w:type="dxa"/>
            <w:noWrap/>
          </w:tcPr>
          <w:p>
            <w:pPr>
              <w:jc w:val="start"/>
              <w:spacing w:before="0" w:after="0"/>
            </w:pPr>
            <w:r>
              <w:rPr/>
              <w:t xml:space="preserve">USD 1.469</w:t>
            </w:r>
          </w:p>
        </w:tc>
        <w:tc>
          <w:tcPr>
            <w:tcW w:w="7800" w:type="dxa"/>
            <w:noWrap/>
          </w:tcPr>
          <w:p>
            <w:pPr>
              <w:jc w:val="start"/>
              <w:spacing w:before="0" w:after="0"/>
            </w:pPr>
            <w:r>
              <w:rPr/>
              <w:t xml:space="preserve">USD 3.020</w:t>
            </w:r>
          </w:p>
        </w:tc>
        <w:tc>
          <w:tcPr>
            <w:tcW w:w="7800" w:type="dxa"/>
            <w:noWrap/>
          </w:tcPr>
          <w:p>
            <w:pPr>
              <w:jc w:val="start"/>
              <w:spacing w:before="0" w:after="0"/>
            </w:pPr>
            <w:r>
              <w:rPr/>
              <w:t xml:space="preserve">USD 769</w:t>
            </w:r>
          </w:p>
        </w:tc>
      </w:tr>
      <w:tr>
        <w:trPr/>
        <w:tc>
          <w:tcPr>
            <w:tcW w:w="7800" w:type="dxa"/>
            <w:noWrap/>
          </w:tcPr>
          <w:p>
            <w:pPr>
              <w:jc w:val="start"/>
              <w:spacing w:before="0" w:after="0"/>
            </w:pPr>
            <w:r>
              <w:rPr>
                <w:b w:val="1"/>
                <w:bCs w:val="1"/>
              </w:rPr>
              <w:t xml:space="preserve">Junio 2025: </w:t>
            </w:r>
            <w:r>
              <w:rPr/>
              <w:t xml:space="preserve">07, 14, 21, 28</w:t>
            </w:r>
          </w:p>
        </w:tc>
        <w:tc>
          <w:tcPr>
            <w:tcW w:w="7800" w:type="dxa"/>
            <w:noWrap/>
          </w:tcPr>
          <w:p>
            <w:pPr>
              <w:jc w:val="start"/>
              <w:spacing w:before="0" w:after="0"/>
            </w:pPr>
            <w:r>
              <w:rPr/>
              <w:t xml:space="preserve">USD 1.829</w:t>
            </w:r>
          </w:p>
        </w:tc>
        <w:tc>
          <w:tcPr>
            <w:tcW w:w="7800" w:type="dxa"/>
            <w:noWrap/>
          </w:tcPr>
          <w:p>
            <w:pPr>
              <w:jc w:val="start"/>
              <w:spacing w:before="0" w:after="0"/>
            </w:pPr>
            <w:r>
              <w:rPr/>
              <w:t xml:space="preserve">USD 1.532</w:t>
            </w:r>
          </w:p>
        </w:tc>
        <w:tc>
          <w:tcPr>
            <w:tcW w:w="7800" w:type="dxa"/>
            <w:noWrap/>
          </w:tcPr>
          <w:p>
            <w:pPr>
              <w:jc w:val="start"/>
              <w:spacing w:before="0" w:after="0"/>
            </w:pPr>
            <w:r>
              <w:rPr/>
              <w:t xml:space="preserve">USD 1.370</w:t>
            </w:r>
          </w:p>
        </w:tc>
        <w:tc>
          <w:tcPr>
            <w:tcW w:w="7800" w:type="dxa"/>
            <w:noWrap/>
          </w:tcPr>
          <w:p>
            <w:pPr>
              <w:jc w:val="start"/>
              <w:spacing w:before="0" w:after="0"/>
            </w:pPr>
            <w:r>
              <w:rPr/>
              <w:t xml:space="preserve">USD 2.672</w:t>
            </w:r>
          </w:p>
        </w:tc>
        <w:tc>
          <w:tcPr>
            <w:tcW w:w="7800" w:type="dxa"/>
            <w:noWrap/>
          </w:tcPr>
          <w:p>
            <w:pPr>
              <w:jc w:val="start"/>
              <w:spacing w:before="0" w:after="0"/>
            </w:pPr>
            <w:r>
              <w:rPr/>
              <w:t xml:space="preserve">USD 769</w:t>
            </w:r>
          </w:p>
        </w:tc>
      </w:tr>
      <w:tr>
        <w:trPr/>
        <w:tc>
          <w:tcPr>
            <w:tcW w:w="7800" w:type="dxa"/>
            <w:noWrap/>
          </w:tcPr>
          <w:p>
            <w:pPr>
              <w:jc w:val="start"/>
              <w:spacing w:before="0" w:after="0"/>
            </w:pPr>
            <w:r>
              <w:rPr>
                <w:b w:val="1"/>
                <w:bCs w:val="1"/>
              </w:rPr>
              <w:t xml:space="preserve">Julio 2025: </w:t>
            </w:r>
            <w:r>
              <w:rPr/>
              <w:t xml:space="preserve">05, 12, 19, 26</w:t>
            </w:r>
          </w:p>
        </w:tc>
        <w:tc>
          <w:tcPr>
            <w:tcW w:w="7800" w:type="dxa"/>
            <w:noWrap/>
          </w:tcPr>
          <w:p>
            <w:pPr>
              <w:jc w:val="start"/>
              <w:spacing w:before="0" w:after="0"/>
            </w:pPr>
            <w:r>
              <w:rPr/>
              <w:t xml:space="preserve">USD 1.679</w:t>
            </w:r>
          </w:p>
        </w:tc>
        <w:tc>
          <w:tcPr>
            <w:tcW w:w="7800" w:type="dxa"/>
            <w:noWrap/>
          </w:tcPr>
          <w:p>
            <w:pPr>
              <w:jc w:val="start"/>
              <w:spacing w:before="0" w:after="0"/>
            </w:pPr>
            <w:r>
              <w:rPr/>
              <w:t xml:space="preserve">USD 1.429</w:t>
            </w:r>
          </w:p>
        </w:tc>
        <w:tc>
          <w:tcPr>
            <w:tcW w:w="7800" w:type="dxa"/>
            <w:noWrap/>
          </w:tcPr>
          <w:p>
            <w:pPr>
              <w:jc w:val="start"/>
              <w:spacing w:before="0" w:after="0"/>
            </w:pPr>
            <w:r>
              <w:rPr/>
              <w:t xml:space="preserve">USD 1.295</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769</w:t>
            </w:r>
          </w:p>
        </w:tc>
      </w:tr>
      <w:tr>
        <w:trPr/>
        <w:tc>
          <w:tcPr>
            <w:tcW w:w="7800" w:type="dxa"/>
            <w:noWrap/>
          </w:tcPr>
          <w:p>
            <w:pPr>
              <w:jc w:val="start"/>
              <w:spacing w:before="0" w:after="0"/>
            </w:pPr>
            <w:r>
              <w:rPr>
                <w:b w:val="1"/>
                <w:bCs w:val="1"/>
              </w:rPr>
              <w:t xml:space="preserve">Agosto 2025: </w:t>
            </w:r>
            <w:r>
              <w:rPr/>
              <w:t xml:space="preserve">02, 09, 16, 23, 30</w:t>
            </w:r>
          </w:p>
        </w:tc>
        <w:tc>
          <w:tcPr>
            <w:tcW w:w="7800" w:type="dxa"/>
            <w:noWrap/>
          </w:tcPr>
          <w:p>
            <w:pPr>
              <w:jc w:val="start"/>
              <w:spacing w:before="0" w:after="0"/>
            </w:pPr>
            <w:r>
              <w:rPr/>
              <w:t xml:space="preserve">USD 1.679</w:t>
            </w:r>
          </w:p>
        </w:tc>
        <w:tc>
          <w:tcPr>
            <w:tcW w:w="7800" w:type="dxa"/>
            <w:noWrap/>
          </w:tcPr>
          <w:p>
            <w:pPr>
              <w:jc w:val="start"/>
              <w:spacing w:before="0" w:after="0"/>
            </w:pPr>
            <w:r>
              <w:rPr/>
              <w:t xml:space="preserve">USD 1.429</w:t>
            </w:r>
          </w:p>
        </w:tc>
        <w:tc>
          <w:tcPr>
            <w:tcW w:w="7800" w:type="dxa"/>
            <w:noWrap/>
          </w:tcPr>
          <w:p>
            <w:pPr>
              <w:jc w:val="start"/>
              <w:spacing w:before="0" w:after="0"/>
            </w:pPr>
            <w:r>
              <w:rPr/>
              <w:t xml:space="preserve">USD 1.295</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769</w:t>
            </w:r>
          </w:p>
        </w:tc>
      </w:tr>
      <w:tr>
        <w:trPr/>
        <w:tc>
          <w:tcPr>
            <w:tcW w:w="7800" w:type="dxa"/>
            <w:noWrap/>
          </w:tcPr>
          <w:p>
            <w:pPr>
              <w:jc w:val="start"/>
              <w:spacing w:before="0" w:after="0"/>
            </w:pPr>
            <w:r>
              <w:rPr>
                <w:b w:val="1"/>
                <w:bCs w:val="1"/>
              </w:rPr>
              <w:t xml:space="preserve">Septiembre 2025: </w:t>
            </w:r>
            <w:r>
              <w:rPr/>
              <w:t xml:space="preserve">06, 13, 27</w:t>
            </w:r>
          </w:p>
        </w:tc>
        <w:tc>
          <w:tcPr>
            <w:tcW w:w="7800" w:type="dxa"/>
            <w:noWrap/>
          </w:tcPr>
          <w:p>
            <w:pPr>
              <w:jc w:val="start"/>
              <w:spacing w:before="0" w:after="0"/>
            </w:pPr>
            <w:r>
              <w:rPr/>
              <w:t xml:space="preserve">USD 1.829</w:t>
            </w:r>
          </w:p>
        </w:tc>
        <w:tc>
          <w:tcPr>
            <w:tcW w:w="7800" w:type="dxa"/>
            <w:noWrap/>
          </w:tcPr>
          <w:p>
            <w:pPr>
              <w:jc w:val="start"/>
              <w:spacing w:before="0" w:after="0"/>
            </w:pPr>
            <w:r>
              <w:rPr/>
              <w:t xml:space="preserve">USD 1.532</w:t>
            </w:r>
          </w:p>
        </w:tc>
        <w:tc>
          <w:tcPr>
            <w:tcW w:w="7800" w:type="dxa"/>
            <w:noWrap/>
          </w:tcPr>
          <w:p>
            <w:pPr>
              <w:jc w:val="start"/>
              <w:spacing w:before="0" w:after="0"/>
            </w:pPr>
            <w:r>
              <w:rPr/>
              <w:t xml:space="preserve">USD 1.370</w:t>
            </w:r>
          </w:p>
        </w:tc>
        <w:tc>
          <w:tcPr>
            <w:tcW w:w="7800" w:type="dxa"/>
            <w:noWrap/>
          </w:tcPr>
          <w:p>
            <w:pPr>
              <w:jc w:val="start"/>
              <w:spacing w:before="0" w:after="0"/>
            </w:pPr>
            <w:r>
              <w:rPr/>
              <w:t xml:space="preserve">USD 2.672</w:t>
            </w:r>
          </w:p>
        </w:tc>
        <w:tc>
          <w:tcPr>
            <w:tcW w:w="7800" w:type="dxa"/>
            <w:noWrap/>
          </w:tcPr>
          <w:p>
            <w:pPr>
              <w:jc w:val="start"/>
              <w:spacing w:before="0" w:after="0"/>
            </w:pPr>
            <w:r>
              <w:rPr/>
              <w:t xml:space="preserve">USD 769</w:t>
            </w:r>
          </w:p>
        </w:tc>
      </w:tr>
      <w:tr>
        <w:trPr/>
        <w:tc>
          <w:tcPr>
            <w:tcW w:w="7800" w:type="dxa"/>
            <w:noWrap/>
          </w:tcPr>
          <w:p>
            <w:pPr>
              <w:jc w:val="start"/>
              <w:spacing w:before="0" w:after="0"/>
            </w:pPr>
            <w:r>
              <w:rPr>
                <w:b w:val="1"/>
                <w:bCs w:val="1"/>
              </w:rPr>
              <w:t xml:space="preserve">Septiembre 2025: </w:t>
            </w:r>
            <w:r>
              <w:rPr/>
              <w:t xml:space="preserve">20</w:t>
            </w:r>
          </w:p>
        </w:tc>
        <w:tc>
          <w:tcPr>
            <w:tcW w:w="7800" w:type="dxa"/>
            <w:noWrap/>
          </w:tcPr>
          <w:p>
            <w:pPr>
              <w:jc w:val="start"/>
              <w:spacing w:before="0" w:after="0"/>
            </w:pPr>
            <w:r>
              <w:rPr/>
              <w:t xml:space="preserve">USD 2.029</w:t>
            </w:r>
          </w:p>
        </w:tc>
        <w:tc>
          <w:tcPr>
            <w:tcW w:w="7800" w:type="dxa"/>
            <w:noWrap/>
          </w:tcPr>
          <w:p>
            <w:pPr>
              <w:jc w:val="start"/>
              <w:spacing w:before="0" w:after="0"/>
            </w:pPr>
            <w:r>
              <w:rPr/>
              <w:t xml:space="preserve">USD 1.665</w:t>
            </w:r>
          </w:p>
        </w:tc>
        <w:tc>
          <w:tcPr>
            <w:tcW w:w="7800" w:type="dxa"/>
            <w:noWrap/>
          </w:tcPr>
          <w:p>
            <w:pPr>
              <w:jc w:val="start"/>
              <w:spacing w:before="0" w:after="0"/>
            </w:pPr>
            <w:r>
              <w:rPr/>
              <w:t xml:space="preserve">USD 1.469</w:t>
            </w:r>
          </w:p>
        </w:tc>
        <w:tc>
          <w:tcPr>
            <w:tcW w:w="7800" w:type="dxa"/>
            <w:noWrap/>
          </w:tcPr>
          <w:p>
            <w:pPr>
              <w:jc w:val="start"/>
              <w:spacing w:before="0" w:after="0"/>
            </w:pPr>
            <w:r>
              <w:rPr/>
              <w:t xml:space="preserve">USD 3.020</w:t>
            </w:r>
          </w:p>
        </w:tc>
        <w:tc>
          <w:tcPr>
            <w:tcW w:w="7800" w:type="dxa"/>
            <w:noWrap/>
          </w:tcPr>
          <w:p>
            <w:pPr>
              <w:jc w:val="start"/>
              <w:spacing w:before="0" w:after="0"/>
            </w:pPr>
            <w:r>
              <w:rPr/>
              <w:t xml:space="preserve">USD 769</w:t>
            </w:r>
          </w:p>
        </w:tc>
      </w:tr>
      <w:tr>
        <w:trPr/>
        <w:tc>
          <w:tcPr>
            <w:tcW w:w="7800" w:type="dxa"/>
            <w:noWrap/>
          </w:tcPr>
          <w:p>
            <w:pPr>
              <w:jc w:val="start"/>
              <w:spacing w:before="0" w:after="0"/>
            </w:pPr>
            <w:r>
              <w:rPr>
                <w:b w:val="1"/>
                <w:bCs w:val="1"/>
              </w:rPr>
              <w:t xml:space="preserve">Octubre 2025:</w:t>
            </w:r>
            <w:r>
              <w:rPr/>
              <w:t xml:space="preserve"> 04, 11, 18, 25</w:t>
            </w:r>
          </w:p>
        </w:tc>
        <w:tc>
          <w:tcPr>
            <w:tcW w:w="7800" w:type="dxa"/>
            <w:noWrap/>
          </w:tcPr>
          <w:p>
            <w:pPr>
              <w:jc w:val="start"/>
              <w:spacing w:before="0" w:after="0"/>
            </w:pPr>
            <w:r>
              <w:rPr/>
              <w:t xml:space="preserve">USD 1.829</w:t>
            </w:r>
          </w:p>
        </w:tc>
        <w:tc>
          <w:tcPr>
            <w:tcW w:w="7800" w:type="dxa"/>
            <w:noWrap/>
          </w:tcPr>
          <w:p>
            <w:pPr>
              <w:jc w:val="start"/>
              <w:spacing w:before="0" w:after="0"/>
            </w:pPr>
            <w:r>
              <w:rPr/>
              <w:t xml:space="preserve">USD 1.532</w:t>
            </w:r>
          </w:p>
        </w:tc>
        <w:tc>
          <w:tcPr>
            <w:tcW w:w="7800" w:type="dxa"/>
            <w:noWrap/>
          </w:tcPr>
          <w:p>
            <w:pPr>
              <w:jc w:val="start"/>
              <w:spacing w:before="0" w:after="0"/>
            </w:pPr>
            <w:r>
              <w:rPr/>
              <w:t xml:space="preserve">USD 1.370</w:t>
            </w:r>
          </w:p>
        </w:tc>
        <w:tc>
          <w:tcPr>
            <w:tcW w:w="7800" w:type="dxa"/>
            <w:noWrap/>
          </w:tcPr>
          <w:p>
            <w:pPr>
              <w:jc w:val="start"/>
              <w:spacing w:before="0" w:after="0"/>
            </w:pPr>
            <w:r>
              <w:rPr/>
              <w:t xml:space="preserve">USD 2.672</w:t>
            </w:r>
          </w:p>
        </w:tc>
        <w:tc>
          <w:tcPr>
            <w:tcW w:w="7800" w:type="dxa"/>
            <w:noWrap/>
          </w:tcPr>
          <w:p>
            <w:pPr>
              <w:jc w:val="start"/>
              <w:spacing w:before="0" w:after="0"/>
            </w:pPr>
            <w:r>
              <w:rPr/>
              <w:t xml:space="preserve">USD 769</w:t>
            </w:r>
          </w:p>
        </w:tc>
      </w:tr>
      <w:tr>
        <w:trPr/>
        <w:tc>
          <w:tcPr>
            <w:tcW w:w="7800" w:type="dxa"/>
            <w:noWrap/>
          </w:tcPr>
          <w:p>
            <w:pPr>
              <w:jc w:val="start"/>
              <w:spacing w:before="0" w:after="0"/>
            </w:pPr>
            <w:r>
              <w:rPr>
                <w:b w:val="1"/>
                <w:bCs w:val="1"/>
              </w:rPr>
              <w:t xml:space="preserve">Noviembre 2025: </w:t>
            </w:r>
            <w:r>
              <w:rPr/>
              <w:t xml:space="preserve">01, 08</w:t>
            </w:r>
          </w:p>
        </w:tc>
        <w:tc>
          <w:tcPr>
            <w:tcW w:w="7800" w:type="dxa"/>
            <w:noWrap/>
          </w:tcPr>
          <w:p>
            <w:pPr>
              <w:jc w:val="start"/>
              <w:spacing w:before="0" w:after="0"/>
            </w:pPr>
            <w:r>
              <w:rPr/>
              <w:t xml:space="preserve">USD 1.829</w:t>
            </w:r>
          </w:p>
        </w:tc>
        <w:tc>
          <w:tcPr>
            <w:tcW w:w="7800" w:type="dxa"/>
            <w:noWrap/>
          </w:tcPr>
          <w:p>
            <w:pPr>
              <w:jc w:val="start"/>
              <w:spacing w:before="0" w:after="0"/>
            </w:pPr>
            <w:r>
              <w:rPr/>
              <w:t xml:space="preserve">USD 1.532</w:t>
            </w:r>
          </w:p>
        </w:tc>
        <w:tc>
          <w:tcPr>
            <w:tcW w:w="7800" w:type="dxa"/>
            <w:noWrap/>
          </w:tcPr>
          <w:p>
            <w:pPr>
              <w:jc w:val="start"/>
              <w:spacing w:before="0" w:after="0"/>
            </w:pPr>
            <w:r>
              <w:rPr/>
              <w:t xml:space="preserve">USD 1.370</w:t>
            </w:r>
          </w:p>
        </w:tc>
        <w:tc>
          <w:tcPr>
            <w:tcW w:w="7800" w:type="dxa"/>
            <w:noWrap/>
          </w:tcPr>
          <w:p>
            <w:pPr>
              <w:jc w:val="start"/>
              <w:spacing w:before="0" w:after="0"/>
            </w:pPr>
            <w:r>
              <w:rPr/>
              <w:t xml:space="preserve">USD 2.672</w:t>
            </w:r>
          </w:p>
        </w:tc>
        <w:tc>
          <w:tcPr>
            <w:tcW w:w="7800" w:type="dxa"/>
            <w:noWrap/>
          </w:tcPr>
          <w:p>
            <w:pPr>
              <w:jc w:val="start"/>
              <w:spacing w:before="0" w:after="0"/>
            </w:pPr>
            <w:r>
              <w:rPr/>
              <w:t xml:space="preserve">USD 769</w:t>
            </w:r>
          </w:p>
        </w:tc>
      </w:tr>
      <w:tr>
        <w:trPr/>
        <w:tc>
          <w:tcPr>
            <w:tcW w:w="7800" w:type="dxa"/>
            <w:noWrap/>
          </w:tcPr>
          <w:p>
            <w:pPr>
              <w:jc w:val="start"/>
              <w:spacing w:before="0" w:after="0"/>
            </w:pPr>
            <w:r>
              <w:rPr>
                <w:b w:val="1"/>
                <w:bCs w:val="1"/>
              </w:rPr>
              <w:t xml:space="preserve">Marzo 2026: </w:t>
            </w:r>
            <w:r>
              <w:rPr/>
              <w:t xml:space="preserve">07, 21</w:t>
            </w:r>
          </w:p>
        </w:tc>
        <w:tc>
          <w:tcPr>
            <w:tcW w:w="7800" w:type="dxa"/>
            <w:noWrap/>
          </w:tcPr>
          <w:p>
            <w:pPr>
              <w:jc w:val="start"/>
              <w:spacing w:before="0" w:after="0"/>
            </w:pPr>
            <w:r>
              <w:rPr/>
              <w:t xml:space="preserve">USD 1.679</w:t>
            </w:r>
          </w:p>
        </w:tc>
        <w:tc>
          <w:tcPr>
            <w:tcW w:w="7800" w:type="dxa"/>
            <w:noWrap/>
          </w:tcPr>
          <w:p>
            <w:pPr>
              <w:jc w:val="start"/>
              <w:spacing w:before="0" w:after="0"/>
            </w:pPr>
            <w:r>
              <w:rPr/>
              <w:t xml:space="preserve">USD 1.429</w:t>
            </w:r>
          </w:p>
        </w:tc>
        <w:tc>
          <w:tcPr>
            <w:tcW w:w="7800" w:type="dxa"/>
            <w:noWrap/>
          </w:tcPr>
          <w:p>
            <w:pPr>
              <w:jc w:val="start"/>
              <w:spacing w:before="0" w:after="0"/>
            </w:pPr>
            <w:r>
              <w:rPr/>
              <w:t xml:space="preserve">USD 1.295</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769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New York.</w:t>
            </w:r>
          </w:p>
        </w:tc>
        <w:tc>
          <w:tcPr>
            <w:tcW w:w="7800" w:type="dxa"/>
            <w:noWrap/>
          </w:tcPr>
          <w:p>
            <w:pPr>
              <w:jc w:val="start"/>
              <w:spacing w:before="0" w:after="0"/>
            </w:pPr>
            <w:r>
              <w:rPr/>
              <w:t xml:space="preserve">The New Yorker, A Wyndham Hotel.</w:t>
            </w:r>
          </w:p>
        </w:tc>
      </w:tr>
      <w:tr>
        <w:trPr/>
        <w:tc>
          <w:tcPr>
            <w:tcW w:w="7800" w:type="dxa"/>
            <w:noWrap/>
          </w:tcPr>
          <w:p>
            <w:pPr>
              <w:jc w:val="start"/>
              <w:spacing w:before="0" w:after="0"/>
            </w:pPr>
            <w:r>
              <w:rPr/>
              <w:t xml:space="preserve">Niagara Falls.</w:t>
            </w:r>
          </w:p>
        </w:tc>
        <w:tc>
          <w:tcPr>
            <w:tcW w:w="7800" w:type="dxa"/>
            <w:noWrap/>
          </w:tcPr>
          <w:p>
            <w:pPr>
              <w:jc w:val="start"/>
              <w:spacing w:before="0" w:after="0"/>
            </w:pPr>
            <w:r>
              <w:rPr/>
              <w:t xml:space="preserve">Sheraton On the Falls.</w:t>
            </w:r>
          </w:p>
        </w:tc>
      </w:tr>
      <w:tr>
        <w:trPr/>
        <w:tc>
          <w:tcPr>
            <w:tcW w:w="7800" w:type="dxa"/>
            <w:noWrap/>
          </w:tcPr>
          <w:p>
            <w:pPr>
              <w:jc w:val="start"/>
              <w:spacing w:before="0" w:after="0"/>
            </w:pPr>
            <w:r>
              <w:rPr/>
              <w:t xml:space="preserve">Wakefield.</w:t>
            </w:r>
          </w:p>
        </w:tc>
        <w:tc>
          <w:tcPr>
            <w:tcW w:w="7800" w:type="dxa"/>
            <w:noWrap/>
          </w:tcPr>
          <w:p>
            <w:pPr>
              <w:jc w:val="start"/>
              <w:spacing w:before="0" w:after="0"/>
            </w:pPr>
            <w:r>
              <w:rPr/>
              <w:t xml:space="preserve">Four Points by Sheraton Wakefield Boston Hotel.</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08:00 hrs. – The New Yorker, A Wyndham Hotel.</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Alojamiento 06 noches en hoteles de categoría turista superior.</w:t>
      </w:r>
    </w:p>
    <w:p>
      <w:pPr>
        <w:numPr>
          <w:ilvl w:val="1"/>
          <w:numId w:val="4"/>
        </w:numPr>
      </w:pPr>
      <w:r>
        <w:rPr/>
        <w:t xml:space="preserve">Incluye 6 Desayunos americanos.</w:t>
      </w:r>
    </w:p>
    <w:p>
      <w:pPr>
        <w:numPr>
          <w:ilvl w:val="1"/>
          <w:numId w:val="4"/>
        </w:numPr>
      </w:pPr>
      <w:r>
        <w:rPr/>
        <w:t xml:space="preserve">Incluye crucero Maid of the Mist (opera de mayo a octubre) fuera de temporada se sustituye por las cuevas de los vientos.</w:t>
      </w:r>
    </w:p>
    <w:p>
      <w:pPr>
        <w:numPr>
          <w:ilvl w:val="1"/>
          <w:numId w:val="4"/>
        </w:numPr>
      </w:pPr>
      <w:r>
        <w:rPr/>
        <w:t xml:space="preserve">Incluye manejo de 1 maleta por pasajero durante el recorrido, maletas adicionales tienen costo adicional.</w:t>
      </w:r>
    </w:p>
    <w:p>
      <w:pPr>
        <w:numPr>
          <w:ilvl w:val="1"/>
          <w:numId w:val="4"/>
        </w:numPr>
      </w:pPr>
      <w:r>
        <w:rPr/>
        <w:t xml:space="preserve">Tour de Alto y Bajo Manhattan.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Traslado de entrada y salida en New York. (Consultar el valor del suplemento de los traslados).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2A09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192C9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CDA0F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61D3A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2025-05-12T08:40:38+00:00</dcterms:created>
  <dcterms:modified xsi:type="dcterms:W3CDTF">2025-05-12T08:40:38+00:00</dcterms:modified>
</cp:coreProperties>
</file>

<file path=docProps/custom.xml><?xml version="1.0" encoding="utf-8"?>
<Properties xmlns="http://schemas.openxmlformats.org/officeDocument/2006/custom-properties" xmlns:vt="http://schemas.openxmlformats.org/officeDocument/2006/docPropsVTypes"/>
</file>