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DEL ESTE CON NEW YORK                    </w:t>
      </w:r>
    </w:p>
    <w:p>
      <w:pPr/>
      <w:r>
        <w:rPr>
          <w:rFonts w:ascii="Arial" w:hAnsi="Arial" w:eastAsia="Arial" w:cs="Arial"/>
          <w:color w:val="light"/>
          <w:sz w:val="22"/>
          <w:szCs w:val="22"/>
          <w:b w:val="0"/>
          <w:bCs w:val="0"/>
        </w:rPr>
        <w:t xml:space="preserve">MTC - 48025</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$1589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New York, </w:t>
      </w:r>
      <w:r>
        <w:rPr/>
        <w:t xml:space="preserve">Washington, </w:t>
      </w:r>
      <w:r>
        <w:rPr/>
        <w:t xml:space="preserve">Niagara Falls, </w:t>
      </w:r>
      <w:r>
        <w:rPr/>
        <w:t xml:space="preserve">Boston, </w:t>
      </w:r>
      <w:r>
        <w:rPr/>
        <w:t xml:space="preserve">New York,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ITINERARIO SUJETO A CAMBIOS EN EL DESTINO, YA SEA POR PROBLEMAS CLIMATICOS U OPERACIONALES (SIEMPRE INCLUYENDO LOS MISMOS SERVICIOS)</w:t>
      </w:r>
    </w:p>
    <w:p>
      <w:pPr/>
      <w:r>
        <w:rPr/>
        <w:t xml:space="preserve"> </w:t>
      </w:r>
    </w:p>
    <w:p>
      <w:pPr/>
      <w:r>
        <w:rPr>
          <w:b w:val="1"/>
          <w:bCs w:val="1"/>
        </w:rPr>
        <w:t xml:space="preserve">DÍA 1 NEW YORK.</w:t>
      </w:r>
    </w:p>
    <w:p>
      <w:pPr/>
      <w:r>
        <w:rPr/>
        <w:t xml:space="preserve">Arribo al hotel por cuenta del pasajero. Resto del día libre. </w:t>
      </w:r>
      <w:r>
        <w:rPr>
          <w:b w:val="1"/>
          <w:bCs w:val="1"/>
        </w:rPr>
        <w:t xml:space="preserve">Alojamiento.</w:t>
      </w:r>
    </w:p>
    <w:p>
      <w:pPr/>
      <w:r>
        <w:rPr/>
        <w:t xml:space="preserve"> </w:t>
      </w:r>
    </w:p>
    <w:p>
      <w:pPr/>
      <w:r>
        <w:rPr>
          <w:b w:val="1"/>
          <w:bCs w:val="1"/>
        </w:rPr>
        <w:t xml:space="preserve">DÍA 2 NEW YORK – PHILADELPHIA – LANCASTER – WASHINGTON.</w:t>
      </w:r>
    </w:p>
    <w:p>
      <w:pPr/>
      <w:r>
        <w:rPr>
          <w:b w:val="1"/>
          <w:bCs w:val="1"/>
        </w:rPr>
        <w:t xml:space="preserve">Desayuno Americano</w:t>
      </w:r>
      <w:r>
        <w:rPr/>
        <w:t xml:space="preserve">. Salida hacia Philadelphia, ciudad donde trece colonias declararon su independencia de Inglaterra. Al llegar se realiza una visita que incluye: El camino de Elfreth, el antiguo barrio victoriano, el boulevard Benjamín Franklin con parada frente al Museo de Arte, escaleras de Rock y la Campana de la Libertad. Tiempo para almorzar (no incluido). Luego de almorzar continuamos viaje hacia el país holandés Amish Country donde haremos una parada en el Amish marklet y breve visita panorámica antes de continuar hacia Washington donde llegaremos a últimas horas de la tarde. </w:t>
      </w:r>
      <w:r>
        <w:rPr>
          <w:b w:val="1"/>
          <w:bCs w:val="1"/>
        </w:rPr>
        <w:t xml:space="preserve">Alojamiento</w:t>
      </w:r>
      <w:r>
        <w:rPr/>
        <w:t xml:space="preserve">.</w:t>
      </w:r>
    </w:p>
    <w:p>
      <w:pPr/>
      <w:r>
        <w:rPr/>
        <w:t xml:space="preserve"> </w:t>
      </w:r>
    </w:p>
    <w:p>
      <w:pPr/>
      <w:r>
        <w:rPr>
          <w:b w:val="1"/>
          <w:bCs w:val="1"/>
        </w:rPr>
        <w:t xml:space="preserve">DÍA 3 WASHINGTON.</w:t>
      </w:r>
    </w:p>
    <w:p>
      <w:pPr/>
      <w:r>
        <w:rPr>
          <w:b w:val="1"/>
          <w:bCs w:val="1"/>
        </w:rPr>
        <w:t xml:space="preserve">Desayuno Americano</w:t>
      </w:r>
      <w:r>
        <w:rPr/>
        <w:t xml:space="preserve">.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 </w:t>
      </w:r>
      <w:r>
        <w:rPr>
          <w:b w:val="1"/>
          <w:bCs w:val="1"/>
        </w:rPr>
        <w:t xml:space="preserve">Alojamiento.</w:t>
      </w:r>
    </w:p>
    <w:p>
      <w:pPr/>
      <w:r>
        <w:rPr/>
        <w:t xml:space="preserve"> </w:t>
      </w:r>
    </w:p>
    <w:p>
      <w:pPr/>
      <w:r>
        <w:rPr>
          <w:b w:val="1"/>
          <w:bCs w:val="1"/>
        </w:rPr>
        <w:t xml:space="preserve">DÍA 4 WASHINGTON – NIAGARA FALLS.</w:t>
      </w:r>
    </w:p>
    <w:p>
      <w:pPr/>
      <w:r>
        <w:rPr>
          <w:b w:val="1"/>
          <w:bCs w:val="1"/>
        </w:rPr>
        <w:t xml:space="preserve">Desayuno Americano</w:t>
      </w:r>
      <w:r>
        <w:rPr/>
        <w:t xml:space="preserve">. Temprano en la mañana salida hacia Niagara. La ruta recorre los estados de Pennsylvania y New York atravesando los montes Apalaches. Llegaremos a Niagara en horas de la tarde y acorde a la temporada realizaremos el paseo del barco Maid of the Mist indistintamente en este día o al siguiente. </w:t>
      </w:r>
      <w:r>
        <w:rPr>
          <w:b w:val="1"/>
          <w:bCs w:val="1"/>
        </w:rPr>
        <w:t xml:space="preserve">Alojamiento.</w:t>
      </w:r>
    </w:p>
    <w:p>
      <w:pPr/>
      <w:r>
        <w:rPr/>
        <w:t xml:space="preserve"> </w:t>
      </w:r>
    </w:p>
    <w:p>
      <w:pPr/>
      <w:r>
        <w:rPr>
          <w:b w:val="1"/>
          <w:bCs w:val="1"/>
        </w:rPr>
        <w:t xml:space="preserve">DÍA 5 NIAGARA FALLS – BOSTÓN.</w:t>
      </w:r>
    </w:p>
    <w:p>
      <w:pPr/>
      <w:r>
        <w:rPr>
          <w:b w:val="1"/>
          <w:bCs w:val="1"/>
        </w:rPr>
        <w:t xml:space="preserve">Desayuno Americano</w:t>
      </w:r>
      <w:r>
        <w:rPr/>
        <w:t xml:space="preserve">. Por la mañana completaremos la visita de las Cataratas del Niagara. Visitando Isla de la Cabra, Lago Ontario, Fortín Niagara y represa hidroeléctrica. A la hora indicada salida hacia la ciudad de Boston. </w:t>
      </w:r>
      <w:r>
        <w:rPr>
          <w:b w:val="1"/>
          <w:bCs w:val="1"/>
        </w:rPr>
        <w:t xml:space="preserve">Alojamiento</w:t>
      </w:r>
      <w:r>
        <w:rPr/>
        <w:t xml:space="preserve">.</w:t>
      </w:r>
    </w:p>
    <w:p>
      <w:pPr/>
      <w:r>
        <w:rPr/>
        <w:t xml:space="preserve"> </w:t>
      </w:r>
    </w:p>
    <w:p>
      <w:pPr/>
      <w:r>
        <w:rPr>
          <w:b w:val="1"/>
          <w:bCs w:val="1"/>
        </w:rPr>
        <w:t xml:space="preserve">DÍA 6 BOSTÓN.</w:t>
      </w:r>
    </w:p>
    <w:p>
      <w:pPr/>
      <w:r>
        <w:rPr>
          <w:b w:val="1"/>
          <w:bCs w:val="1"/>
        </w:rPr>
        <w:t xml:space="preserve">Desayuno Americano. </w:t>
      </w:r>
      <w:r>
        <w:rPr/>
        <w:t xml:space="preserve">Por la mañana visita de la ciudad: Universidad de Harvard, Plaza Copley frente al cual se encuentra la iglesia de la Trinidad; el barrio de Back Bay; Faneuil Hall (centro comercial); el Mercado Quincy y zona portuaria entre otros puntos de interés. Tarde Libre.</w:t>
      </w:r>
      <w:r>
        <w:rPr>
          <w:b w:val="1"/>
          <w:bCs w:val="1"/>
        </w:rPr>
        <w:t xml:space="preserve"> Alojamiento.</w:t>
      </w:r>
    </w:p>
    <w:p>
      <w:pPr/>
      <w:r>
        <w:rPr/>
        <w:t xml:space="preserve"> </w:t>
      </w:r>
    </w:p>
    <w:p>
      <w:pPr/>
      <w:r>
        <w:rPr>
          <w:b w:val="1"/>
          <w:bCs w:val="1"/>
        </w:rPr>
        <w:t xml:space="preserve">DÍA 7 BOSTÓN – NEWPORT – NEW YORK.</w:t>
      </w:r>
    </w:p>
    <w:p>
      <w:pPr/>
      <w:r>
        <w:rPr>
          <w:b w:val="1"/>
          <w:bCs w:val="1"/>
        </w:rPr>
        <w:t xml:space="preserve">Desayuno Americano</w:t>
      </w:r>
      <w:r>
        <w:rPr/>
        <w:t xml:space="preserve">. Partimos por la mañana rumbo a la ciudad de Nueva York. En el camino haremos una parada en Newport para ver esta ciudad encantadora conocida como la capital de los botes de vela de Estados Unidos y zona de mansiones entre ellas las mansiones de la familia Vanderbilt y Astor. Luego del almuerzo (no incluido) continuaremos hacia a la ciudad de Nueva York donde llegaremos a media tarde. </w:t>
      </w:r>
      <w:r>
        <w:rPr>
          <w:b w:val="1"/>
          <w:bCs w:val="1"/>
        </w:rPr>
        <w:t xml:space="preserve">Alojamiento</w:t>
      </w:r>
      <w:r>
        <w:rPr/>
        <w:t xml:space="preserve">.</w:t>
      </w:r>
    </w:p>
    <w:p>
      <w:pPr/>
      <w:r>
        <w:rPr/>
        <w:t xml:space="preserve"> </w:t>
      </w:r>
    </w:p>
    <w:p>
      <w:pPr/>
      <w:r>
        <w:rPr>
          <w:b w:val="1"/>
          <w:bCs w:val="1"/>
        </w:rPr>
        <w:t xml:space="preserve">DÍA 8 NEW YORK.</w:t>
      </w:r>
    </w:p>
    <w:p>
      <w:pPr/>
      <w:r>
        <w:rPr>
          <w:b w:val="1"/>
          <w:bCs w:val="1"/>
        </w:rPr>
        <w:t xml:space="preserve">Desayuno Americano</w:t>
      </w:r>
      <w:r>
        <w:rPr/>
        <w:t xml:space="preserve">. Visita de la ciudad. En camino al Alto Manhattan a lo largo del Central Park pasaremos por el Lincoln Center, el edificio Dakota y Strawberry Fields.Tras una breve parada en Central Park para ver la placa Imagine en homenaje a John Lennon, continuamos a Harlem. Luego de un recorrido por la zona bajamos por la 5ta Avenida donde veremos los Museos; Metropolitano, Frick y Guggenheim. Pasando frente a la catedral de St Patrick s y Rockefeller Center haremos una breve parada en plaza Madison para tener una vista del Flatiron Building y Empire State. Se continua hacia el Bajo Manhattan, pasando por Greenwich Village, Soho, Chinatown, la pequeña Italia, Wall Street, la iglesia de la Trinidad y la Capilla San Pablo. Desde aquí caminaremos con nuestro guía hasta Battery Park. Desde este histórico parque podemos admirar la Estatua de la Libertad. Aquí los pasajeros pueden optar por quedarse para visitar lugares de interés del bajo Manhattan o regresar en el autobús hasta la calle 34. Resto del día libre. </w:t>
      </w:r>
      <w:r>
        <w:rPr>
          <w:b w:val="1"/>
          <w:bCs w:val="1"/>
        </w:rPr>
        <w:t xml:space="preserve">Alojamiento.</w:t>
      </w:r>
    </w:p>
    <w:p>
      <w:pPr/>
      <w:r>
        <w:rPr/>
        <w:t xml:space="preserve"> </w:t>
      </w:r>
    </w:p>
    <w:p>
      <w:pPr/>
      <w:r>
        <w:rPr>
          <w:b w:val="1"/>
          <w:bCs w:val="1"/>
        </w:rPr>
        <w:t xml:space="preserve">DÍA 9 NEW YORK.</w:t>
      </w:r>
    </w:p>
    <w:p>
      <w:pPr/>
      <w:r>
        <w:rPr>
          <w:b w:val="1"/>
          <w:bCs w:val="1"/>
        </w:rPr>
        <w:t xml:space="preserve">Desayuno Americano. </w:t>
      </w:r>
      <w:r>
        <w:rPr/>
        <w:t xml:space="preserve">Fin de nuestros servicios. CHECK OUT del hotel deberá ser antes de las 12:00PM.</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LLEGADA A NEW YORK</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20</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20</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17</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01</w:t>
            </w:r>
          </w:p>
        </w:tc>
        <w:tc>
          <w:tcPr>
            <w:tcW w:w="7800" w:type="dxa"/>
            <w:noWrap/>
          </w:tcPr>
          <w:p>
            <w:pPr>
              <w:jc w:val="start"/>
              <w:spacing w:before="0" w:after="0"/>
            </w:pPr>
            <w:r>
              <w:rPr/>
              <w:t xml:space="preserve">08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31</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02</w:t>
            </w:r>
          </w:p>
        </w:tc>
        <w:tc>
          <w:tcPr>
            <w:tcW w:w="7800" w:type="dxa"/>
            <w:noWrap/>
          </w:tcPr>
          <w:p>
            <w:pPr>
              <w:jc w:val="start"/>
              <w:spacing w:before="0" w:after="0"/>
            </w:pPr>
            <w:r>
              <w:rPr/>
              <w:t xml:space="preserve">09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18</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05</w:t>
            </w:r>
          </w:p>
        </w:tc>
        <w:tc>
          <w:tcPr>
            <w:tcW w:w="7800" w:type="dxa"/>
            <w:noWrap/>
          </w:tcPr>
          <w:p>
            <w:pPr>
              <w:jc w:val="start"/>
              <w:spacing w:before="0" w:after="0"/>
            </w:pPr>
            <w:r>
              <w:rPr/>
              <w:t xml:space="preserve">19</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bl>
    <w:p>
      <w:pPr>
        <w:spacing w:before="0" w:after="0"/>
      </w:pPr>
      <w:r>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6"/>
            <w:noWrap/>
          </w:tcPr>
          <w:p>
            <w:pPr>
              <w:jc w:val="start"/>
              <w:spacing w:before="0" w:after="0"/>
            </w:pPr>
            <w:r>
              <w:rPr>
                <w:b w:val="1"/>
                <w:bCs w:val="1"/>
              </w:rPr>
              <w:t xml:space="preserve">PRECIOS EN DOLARES AMERICANOS</w:t>
            </w:r>
            <w:r>
              <w:rPr/>
              <w:t xml:space="preserve"> </w:t>
            </w:r>
            <w:r>
              <w:rPr>
                <w:b w:val="1"/>
                <w:bCs w:val="1"/>
              </w:rPr>
              <w:t xml:space="preserve">POR PERSONA</w:t>
            </w:r>
            <w:r>
              <w:rPr/>
              <w:t xml:space="preserve"> 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SALIDAS</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r>
              <w:rPr/>
              <w:t xml:space="preserve">*</w:t>
            </w:r>
          </w:p>
        </w:tc>
        <w:tc>
          <w:tcPr>
            <w:tcW w:w="7800" w:type="dxa"/>
            <w:noWrap/>
          </w:tcPr>
          <w:p>
            <w:pPr>
              <w:jc w:val="start"/>
              <w:spacing w:before="0" w:after="0"/>
            </w:pPr>
            <w:r>
              <w:rPr>
                <w:b w:val="1"/>
                <w:bCs w:val="1"/>
              </w:rPr>
              <w:t xml:space="preserve">QUADRUPLE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b w:val="1"/>
                <w:bCs w:val="1"/>
              </w:rPr>
              <w:t xml:space="preserve">Febrero 2025: </w:t>
            </w:r>
            <w:r>
              <w:rPr/>
              <w:t xml:space="preserve">20.</w:t>
            </w:r>
          </w:p>
        </w:tc>
        <w:tc>
          <w:tcPr>
            <w:tcW w:w="7800" w:type="dxa"/>
            <w:noWrap/>
          </w:tcPr>
          <w:p>
            <w:pPr>
              <w:jc w:val="start"/>
              <w:spacing w:before="0" w:after="0"/>
            </w:pPr>
            <w:r>
              <w:rPr/>
              <w:t xml:space="preserve">USD 1.944</w:t>
            </w:r>
          </w:p>
        </w:tc>
        <w:tc>
          <w:tcPr>
            <w:tcW w:w="7800" w:type="dxa"/>
            <w:noWrap/>
          </w:tcPr>
          <w:p>
            <w:pPr>
              <w:jc w:val="start"/>
              <w:spacing w:before="0" w:after="0"/>
            </w:pPr>
            <w:r>
              <w:rPr/>
              <w:t xml:space="preserve">USD 1.727</w:t>
            </w:r>
          </w:p>
        </w:tc>
        <w:tc>
          <w:tcPr>
            <w:tcW w:w="7800" w:type="dxa"/>
            <w:noWrap/>
          </w:tcPr>
          <w:p>
            <w:pPr>
              <w:jc w:val="start"/>
              <w:spacing w:before="0" w:after="0"/>
            </w:pPr>
            <w:r>
              <w:rPr/>
              <w:t xml:space="preserve">USD 1.589</w:t>
            </w:r>
          </w:p>
        </w:tc>
        <w:tc>
          <w:tcPr>
            <w:tcW w:w="7800" w:type="dxa"/>
            <w:noWrap/>
          </w:tcPr>
          <w:p>
            <w:pPr>
              <w:jc w:val="start"/>
              <w:spacing w:before="0" w:after="0"/>
            </w:pPr>
            <w:r>
              <w:rPr/>
              <w:t xml:space="preserve">USD 2.851</w:t>
            </w:r>
          </w:p>
        </w:tc>
        <w:tc>
          <w:tcPr>
            <w:tcW w:w="7800" w:type="dxa"/>
            <w:noWrap/>
          </w:tcPr>
          <w:p>
            <w:pPr>
              <w:jc w:val="start"/>
              <w:spacing w:before="0" w:after="0"/>
            </w:pPr>
            <w:r>
              <w:rPr/>
              <w:t xml:space="preserve">USD 1.073</w:t>
            </w:r>
          </w:p>
        </w:tc>
      </w:tr>
      <w:tr>
        <w:trPr/>
        <w:tc>
          <w:tcPr>
            <w:tcW w:w="7800" w:type="dxa"/>
            <w:noWrap/>
          </w:tcPr>
          <w:p>
            <w:pPr>
              <w:jc w:val="start"/>
              <w:spacing w:before="0" w:after="0"/>
            </w:pPr>
            <w:r>
              <w:rPr>
                <w:b w:val="1"/>
                <w:bCs w:val="1"/>
              </w:rPr>
              <w:t xml:space="preserve">Marzo 2025: </w:t>
            </w:r>
            <w:r>
              <w:rPr/>
              <w:t xml:space="preserve">06, 20.</w:t>
            </w:r>
          </w:p>
        </w:tc>
        <w:tc>
          <w:tcPr>
            <w:tcW w:w="7800" w:type="dxa"/>
            <w:noWrap/>
          </w:tcPr>
          <w:p>
            <w:pPr>
              <w:jc w:val="start"/>
              <w:spacing w:before="0" w:after="0"/>
            </w:pPr>
            <w:r>
              <w:rPr/>
              <w:t xml:space="preserve">USD 2.132</w:t>
            </w:r>
          </w:p>
        </w:tc>
        <w:tc>
          <w:tcPr>
            <w:tcW w:w="7800" w:type="dxa"/>
            <w:noWrap/>
          </w:tcPr>
          <w:p>
            <w:pPr>
              <w:jc w:val="start"/>
              <w:spacing w:before="0" w:after="0"/>
            </w:pPr>
            <w:r>
              <w:rPr/>
              <w:t xml:space="preserve">USD 1.850</w:t>
            </w:r>
          </w:p>
        </w:tc>
        <w:tc>
          <w:tcPr>
            <w:tcW w:w="7800" w:type="dxa"/>
            <w:noWrap/>
          </w:tcPr>
          <w:p>
            <w:pPr>
              <w:jc w:val="start"/>
              <w:spacing w:before="0" w:after="0"/>
            </w:pPr>
            <w:r>
              <w:rPr/>
              <w:t xml:space="preserve">USD 1.686</w:t>
            </w:r>
          </w:p>
        </w:tc>
        <w:tc>
          <w:tcPr>
            <w:tcW w:w="7800" w:type="dxa"/>
            <w:noWrap/>
          </w:tcPr>
          <w:p>
            <w:pPr>
              <w:jc w:val="start"/>
              <w:spacing w:before="0" w:after="0"/>
            </w:pPr>
            <w:r>
              <w:rPr/>
              <w:t xml:space="preserve">USD 3.224</w:t>
            </w:r>
          </w:p>
        </w:tc>
        <w:tc>
          <w:tcPr>
            <w:tcW w:w="7800" w:type="dxa"/>
            <w:noWrap/>
          </w:tcPr>
          <w:p>
            <w:pPr>
              <w:jc w:val="start"/>
              <w:spacing w:before="0" w:after="0"/>
            </w:pPr>
            <w:r>
              <w:rPr/>
              <w:t xml:space="preserve">USD 1.073</w:t>
            </w:r>
          </w:p>
        </w:tc>
      </w:tr>
      <w:tr>
        <w:trPr/>
        <w:tc>
          <w:tcPr>
            <w:tcW w:w="7800" w:type="dxa"/>
            <w:noWrap/>
          </w:tcPr>
          <w:p>
            <w:pPr>
              <w:jc w:val="start"/>
              <w:spacing w:before="0" w:after="0"/>
            </w:pPr>
            <w:r>
              <w:rPr>
                <w:b w:val="1"/>
                <w:bCs w:val="1"/>
              </w:rPr>
              <w:t xml:space="preserve">Abril 2025: </w:t>
            </w:r>
            <w:r>
              <w:rPr/>
              <w:t xml:space="preserve">03, 17</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1.828</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Mayo 2025: </w:t>
            </w:r>
            <w:r>
              <w:rPr/>
              <w:t xml:space="preserve">29</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1.828</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Mayo 2025: </w:t>
            </w:r>
            <w:r>
              <w:rPr/>
              <w:t xml:space="preserve">01, 08, 22</w:t>
            </w:r>
          </w:p>
        </w:tc>
        <w:tc>
          <w:tcPr>
            <w:tcW w:w="7800" w:type="dxa"/>
            <w:noWrap/>
          </w:tcPr>
          <w:p>
            <w:pPr>
              <w:jc w:val="start"/>
              <w:spacing w:before="0" w:after="0"/>
            </w:pPr>
            <w:r>
              <w:rPr/>
              <w:t xml:space="preserve">USD 2.399</w:t>
            </w:r>
          </w:p>
        </w:tc>
        <w:tc>
          <w:tcPr>
            <w:tcW w:w="7800" w:type="dxa"/>
            <w:noWrap/>
          </w:tcPr>
          <w:p>
            <w:pPr>
              <w:jc w:val="start"/>
              <w:spacing w:before="0" w:after="0"/>
            </w:pPr>
            <w:r>
              <w:rPr/>
              <w:t xml:space="preserve">USD 2.066</w:t>
            </w:r>
          </w:p>
        </w:tc>
        <w:tc>
          <w:tcPr>
            <w:tcW w:w="7800" w:type="dxa"/>
            <w:noWrap/>
          </w:tcPr>
          <w:p>
            <w:pPr>
              <w:jc w:val="start"/>
              <w:spacing w:before="0" w:after="0"/>
            </w:pPr>
            <w:r>
              <w:rPr/>
              <w:t xml:space="preserve">USD 1.872</w:t>
            </w:r>
          </w:p>
        </w:tc>
        <w:tc>
          <w:tcPr>
            <w:tcW w:w="7800" w:type="dxa"/>
            <w:noWrap/>
          </w:tcPr>
          <w:p>
            <w:pPr>
              <w:jc w:val="start"/>
              <w:spacing w:before="0" w:after="0"/>
            </w:pPr>
            <w:r>
              <w:rPr/>
              <w:t xml:space="preserve">USD 3.538</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Mayo 2025: </w:t>
            </w:r>
            <w:r>
              <w:rPr/>
              <w:t xml:space="preserve">15</w:t>
            </w:r>
          </w:p>
        </w:tc>
        <w:tc>
          <w:tcPr>
            <w:tcW w:w="7800" w:type="dxa"/>
            <w:noWrap/>
          </w:tcPr>
          <w:p>
            <w:pPr>
              <w:jc w:val="start"/>
              <w:spacing w:before="0" w:after="0"/>
            </w:pPr>
            <w:r>
              <w:rPr/>
              <w:t xml:space="preserve">USD 2.567</w:t>
            </w:r>
          </w:p>
        </w:tc>
        <w:tc>
          <w:tcPr>
            <w:tcW w:w="7800" w:type="dxa"/>
            <w:noWrap/>
          </w:tcPr>
          <w:p>
            <w:pPr>
              <w:jc w:val="start"/>
              <w:spacing w:before="0" w:after="0"/>
            </w:pPr>
            <w:r>
              <w:rPr/>
              <w:t xml:space="preserve">USD 2.161</w:t>
            </w:r>
          </w:p>
        </w:tc>
        <w:tc>
          <w:tcPr>
            <w:tcW w:w="7800" w:type="dxa"/>
            <w:noWrap/>
          </w:tcPr>
          <w:p>
            <w:pPr>
              <w:jc w:val="start"/>
              <w:spacing w:before="0" w:after="0"/>
            </w:pPr>
            <w:r>
              <w:rPr/>
              <w:t xml:space="preserve">USD 1.937</w:t>
            </w:r>
          </w:p>
        </w:tc>
        <w:tc>
          <w:tcPr>
            <w:tcW w:w="7800" w:type="dxa"/>
            <w:noWrap/>
          </w:tcPr>
          <w:p>
            <w:pPr>
              <w:jc w:val="start"/>
              <w:spacing w:before="0" w:after="0"/>
            </w:pPr>
            <w:r>
              <w:rPr/>
              <w:t xml:space="preserve">USD 3.846</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Junio 2025: </w:t>
            </w:r>
            <w:r>
              <w:rPr/>
              <w:t xml:space="preserve">05, 12, 19</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1.828</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Junio 2025: </w:t>
            </w:r>
            <w:r>
              <w:rPr/>
              <w:t xml:space="preserve">26</w:t>
            </w:r>
          </w:p>
        </w:tc>
        <w:tc>
          <w:tcPr>
            <w:tcW w:w="7800" w:type="dxa"/>
            <w:noWrap/>
          </w:tcPr>
          <w:p>
            <w:pPr>
              <w:jc w:val="start"/>
              <w:spacing w:before="0" w:after="0"/>
            </w:pPr>
            <w:r>
              <w:rPr/>
              <w:t xml:space="preserve">USD 2.399</w:t>
            </w:r>
          </w:p>
        </w:tc>
        <w:tc>
          <w:tcPr>
            <w:tcW w:w="7800" w:type="dxa"/>
            <w:noWrap/>
          </w:tcPr>
          <w:p>
            <w:pPr>
              <w:jc w:val="start"/>
              <w:spacing w:before="0" w:after="0"/>
            </w:pPr>
            <w:r>
              <w:rPr/>
              <w:t xml:space="preserve">USD 2.066</w:t>
            </w:r>
          </w:p>
        </w:tc>
        <w:tc>
          <w:tcPr>
            <w:tcW w:w="7800" w:type="dxa"/>
            <w:noWrap/>
          </w:tcPr>
          <w:p>
            <w:pPr>
              <w:jc w:val="start"/>
              <w:spacing w:before="0" w:after="0"/>
            </w:pPr>
            <w:r>
              <w:rPr/>
              <w:t xml:space="preserve">USD 1.872</w:t>
            </w:r>
          </w:p>
        </w:tc>
        <w:tc>
          <w:tcPr>
            <w:tcW w:w="7800" w:type="dxa"/>
            <w:noWrap/>
          </w:tcPr>
          <w:p>
            <w:pPr>
              <w:jc w:val="start"/>
              <w:spacing w:before="0" w:after="0"/>
            </w:pPr>
            <w:r>
              <w:rPr/>
              <w:t xml:space="preserve">USD 3.538</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Julio 2025: </w:t>
            </w:r>
            <w:r>
              <w:rPr/>
              <w:t xml:space="preserve">03, 10, 17, 24, 31</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1.828</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Agosto 2025: </w:t>
            </w:r>
            <w:r>
              <w:rPr/>
              <w:t xml:space="preserve">07, 14, 21, 28</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1.828</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Septiembre 2025: </w:t>
            </w:r>
            <w:r>
              <w:rPr/>
              <w:t xml:space="preserve">04, 11, 25</w:t>
            </w:r>
          </w:p>
        </w:tc>
        <w:tc>
          <w:tcPr>
            <w:tcW w:w="7800" w:type="dxa"/>
            <w:noWrap/>
          </w:tcPr>
          <w:p>
            <w:pPr>
              <w:jc w:val="start"/>
              <w:spacing w:before="0" w:after="0"/>
            </w:pPr>
            <w:r>
              <w:rPr/>
              <w:t xml:space="preserve">USD 2.399</w:t>
            </w:r>
          </w:p>
        </w:tc>
        <w:tc>
          <w:tcPr>
            <w:tcW w:w="7800" w:type="dxa"/>
            <w:noWrap/>
          </w:tcPr>
          <w:p>
            <w:pPr>
              <w:jc w:val="start"/>
              <w:spacing w:before="0" w:after="0"/>
            </w:pPr>
            <w:r>
              <w:rPr/>
              <w:t xml:space="preserve">USD 2.066</w:t>
            </w:r>
          </w:p>
        </w:tc>
        <w:tc>
          <w:tcPr>
            <w:tcW w:w="7800" w:type="dxa"/>
            <w:noWrap/>
          </w:tcPr>
          <w:p>
            <w:pPr>
              <w:jc w:val="start"/>
              <w:spacing w:before="0" w:after="0"/>
            </w:pPr>
            <w:r>
              <w:rPr/>
              <w:t xml:space="preserve">USD 1.872</w:t>
            </w:r>
          </w:p>
        </w:tc>
        <w:tc>
          <w:tcPr>
            <w:tcW w:w="7800" w:type="dxa"/>
            <w:noWrap/>
          </w:tcPr>
          <w:p>
            <w:pPr>
              <w:jc w:val="start"/>
              <w:spacing w:before="0" w:after="0"/>
            </w:pPr>
            <w:r>
              <w:rPr/>
              <w:t xml:space="preserve">USD 3.538</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Septiembre 2025:</w:t>
            </w:r>
            <w:r>
              <w:rPr/>
              <w:t xml:space="preserve"> 18</w:t>
            </w:r>
          </w:p>
        </w:tc>
        <w:tc>
          <w:tcPr>
            <w:tcW w:w="7800" w:type="dxa"/>
            <w:noWrap/>
          </w:tcPr>
          <w:p>
            <w:pPr>
              <w:jc w:val="start"/>
              <w:spacing w:before="0" w:after="0"/>
            </w:pPr>
            <w:r>
              <w:rPr/>
              <w:t xml:space="preserve">USD 2.567</w:t>
            </w:r>
          </w:p>
        </w:tc>
        <w:tc>
          <w:tcPr>
            <w:tcW w:w="7800" w:type="dxa"/>
            <w:noWrap/>
          </w:tcPr>
          <w:p>
            <w:pPr>
              <w:jc w:val="start"/>
              <w:spacing w:before="0" w:after="0"/>
            </w:pPr>
            <w:r>
              <w:rPr/>
              <w:t xml:space="preserve">USD 2.161</w:t>
            </w:r>
          </w:p>
        </w:tc>
        <w:tc>
          <w:tcPr>
            <w:tcW w:w="7800" w:type="dxa"/>
            <w:noWrap/>
          </w:tcPr>
          <w:p>
            <w:pPr>
              <w:jc w:val="start"/>
              <w:spacing w:before="0" w:after="0"/>
            </w:pPr>
            <w:r>
              <w:rPr/>
              <w:t xml:space="preserve">USD 1.937</w:t>
            </w:r>
          </w:p>
        </w:tc>
        <w:tc>
          <w:tcPr>
            <w:tcW w:w="7800" w:type="dxa"/>
            <w:noWrap/>
          </w:tcPr>
          <w:p>
            <w:pPr>
              <w:jc w:val="start"/>
              <w:spacing w:before="0" w:after="0"/>
            </w:pPr>
            <w:r>
              <w:rPr/>
              <w:t xml:space="preserve">USD 3.846</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Octubre 2025: </w:t>
            </w:r>
            <w:r>
              <w:rPr/>
              <w:t xml:space="preserve">02, 09, 16, 23, 30</w:t>
            </w:r>
          </w:p>
        </w:tc>
        <w:tc>
          <w:tcPr>
            <w:tcW w:w="7800" w:type="dxa"/>
            <w:noWrap/>
          </w:tcPr>
          <w:p>
            <w:pPr>
              <w:jc w:val="start"/>
              <w:spacing w:before="0" w:after="0"/>
            </w:pPr>
            <w:r>
              <w:rPr/>
              <w:t xml:space="preserve">USD 2.399</w:t>
            </w:r>
          </w:p>
        </w:tc>
        <w:tc>
          <w:tcPr>
            <w:tcW w:w="7800" w:type="dxa"/>
            <w:noWrap/>
          </w:tcPr>
          <w:p>
            <w:pPr>
              <w:jc w:val="start"/>
              <w:spacing w:before="0" w:after="0"/>
            </w:pPr>
            <w:r>
              <w:rPr/>
              <w:t xml:space="preserve">USD 2.066</w:t>
            </w:r>
          </w:p>
        </w:tc>
        <w:tc>
          <w:tcPr>
            <w:tcW w:w="7800" w:type="dxa"/>
            <w:noWrap/>
          </w:tcPr>
          <w:p>
            <w:pPr>
              <w:jc w:val="start"/>
              <w:spacing w:before="0" w:after="0"/>
            </w:pPr>
            <w:r>
              <w:rPr/>
              <w:t xml:space="preserve">USD 1.872</w:t>
            </w:r>
          </w:p>
        </w:tc>
        <w:tc>
          <w:tcPr>
            <w:tcW w:w="7800" w:type="dxa"/>
            <w:noWrap/>
          </w:tcPr>
          <w:p>
            <w:pPr>
              <w:jc w:val="start"/>
              <w:spacing w:before="0" w:after="0"/>
            </w:pPr>
            <w:r>
              <w:rPr/>
              <w:t xml:space="preserve">USD 3.538</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Noviembre 2025:</w:t>
            </w:r>
            <w:r>
              <w:rPr/>
              <w:t xml:space="preserve"> 06</w:t>
            </w:r>
          </w:p>
        </w:tc>
        <w:tc>
          <w:tcPr>
            <w:tcW w:w="7800" w:type="dxa"/>
            <w:noWrap/>
          </w:tcPr>
          <w:p>
            <w:pPr>
              <w:jc w:val="start"/>
              <w:spacing w:before="0" w:after="0"/>
            </w:pPr>
            <w:r>
              <w:rPr/>
              <w:t xml:space="preserve">USD 2.399</w:t>
            </w:r>
          </w:p>
        </w:tc>
        <w:tc>
          <w:tcPr>
            <w:tcW w:w="7800" w:type="dxa"/>
            <w:noWrap/>
          </w:tcPr>
          <w:p>
            <w:pPr>
              <w:jc w:val="start"/>
              <w:spacing w:before="0" w:after="0"/>
            </w:pPr>
            <w:r>
              <w:rPr/>
              <w:t xml:space="preserve">USD 2.066</w:t>
            </w:r>
          </w:p>
        </w:tc>
        <w:tc>
          <w:tcPr>
            <w:tcW w:w="7800" w:type="dxa"/>
            <w:noWrap/>
          </w:tcPr>
          <w:p>
            <w:pPr>
              <w:jc w:val="start"/>
              <w:spacing w:before="0" w:after="0"/>
            </w:pPr>
            <w:r>
              <w:rPr/>
              <w:t xml:space="preserve">USD 1.872</w:t>
            </w:r>
          </w:p>
        </w:tc>
        <w:tc>
          <w:tcPr>
            <w:tcW w:w="7800" w:type="dxa"/>
            <w:noWrap/>
          </w:tcPr>
          <w:p>
            <w:pPr>
              <w:jc w:val="start"/>
              <w:spacing w:before="0" w:after="0"/>
            </w:pPr>
            <w:r>
              <w:rPr/>
              <w:t xml:space="preserve">USD 3.538</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Diciembre 2025:</w:t>
            </w:r>
            <w:r>
              <w:rPr/>
              <w:t xml:space="preserve"> 18</w:t>
            </w:r>
          </w:p>
        </w:tc>
        <w:tc>
          <w:tcPr>
            <w:tcW w:w="7800" w:type="dxa"/>
            <w:noWrap/>
          </w:tcPr>
          <w:p>
            <w:pPr>
              <w:jc w:val="start"/>
              <w:spacing w:before="0" w:after="0"/>
            </w:pPr>
            <w:r>
              <w:rPr/>
              <w:t xml:space="preserve">USD 2.399</w:t>
            </w:r>
          </w:p>
        </w:tc>
        <w:tc>
          <w:tcPr>
            <w:tcW w:w="7800" w:type="dxa"/>
            <w:noWrap/>
          </w:tcPr>
          <w:p>
            <w:pPr>
              <w:jc w:val="start"/>
              <w:spacing w:before="0" w:after="0"/>
            </w:pPr>
            <w:r>
              <w:rPr/>
              <w:t xml:space="preserve">USD 2.066</w:t>
            </w:r>
          </w:p>
        </w:tc>
        <w:tc>
          <w:tcPr>
            <w:tcW w:w="7800" w:type="dxa"/>
            <w:noWrap/>
          </w:tcPr>
          <w:p>
            <w:pPr>
              <w:jc w:val="start"/>
              <w:spacing w:before="0" w:after="0"/>
            </w:pPr>
            <w:r>
              <w:rPr/>
              <w:t xml:space="preserve">USD 1.872</w:t>
            </w:r>
          </w:p>
        </w:tc>
        <w:tc>
          <w:tcPr>
            <w:tcW w:w="7800" w:type="dxa"/>
            <w:noWrap/>
          </w:tcPr>
          <w:p>
            <w:pPr>
              <w:jc w:val="start"/>
              <w:spacing w:before="0" w:after="0"/>
            </w:pPr>
            <w:r>
              <w:rPr/>
              <w:t xml:space="preserve">USD 3.538</w:t>
            </w:r>
          </w:p>
        </w:tc>
        <w:tc>
          <w:tcPr>
            <w:tcW w:w="7800" w:type="dxa"/>
            <w:noWrap/>
          </w:tcPr>
          <w:p>
            <w:pPr>
              <w:jc w:val="start"/>
              <w:spacing w:before="0" w:after="0"/>
            </w:pPr>
            <w:r>
              <w:rPr/>
              <w:t xml:space="preserve">USD 1.159</w:t>
            </w:r>
          </w:p>
        </w:tc>
      </w:tr>
      <w:tr>
        <w:trPr/>
        <w:tc>
          <w:tcPr>
            <w:tcW w:w="7800" w:type="dxa"/>
            <w:noWrap/>
          </w:tcPr>
          <w:p>
            <w:pPr>
              <w:jc w:val="start"/>
              <w:spacing w:before="0" w:after="0"/>
            </w:pPr>
            <w:r>
              <w:rPr>
                <w:b w:val="1"/>
                <w:bCs w:val="1"/>
              </w:rPr>
              <w:t xml:space="preserve">Marzo 2026:</w:t>
            </w:r>
            <w:r>
              <w:rPr/>
              <w:t xml:space="preserve"> 05, 19</w:t>
            </w:r>
          </w:p>
        </w:tc>
        <w:tc>
          <w:tcPr>
            <w:tcW w:w="7800" w:type="dxa"/>
            <w:noWrap/>
          </w:tcPr>
          <w:p>
            <w:pPr>
              <w:jc w:val="start"/>
              <w:spacing w:before="0" w:after="0"/>
            </w:pPr>
            <w:r>
              <w:rPr/>
              <w:t xml:space="preserve">USD 2.299</w:t>
            </w:r>
          </w:p>
        </w:tc>
        <w:tc>
          <w:tcPr>
            <w:tcW w:w="7800" w:type="dxa"/>
            <w:noWrap/>
          </w:tcPr>
          <w:p>
            <w:pPr>
              <w:jc w:val="start"/>
              <w:spacing w:before="0" w:after="0"/>
            </w:pPr>
            <w:r>
              <w:rPr/>
              <w:t xml:space="preserve">USD 1.999</w:t>
            </w:r>
          </w:p>
        </w:tc>
        <w:tc>
          <w:tcPr>
            <w:tcW w:w="7800" w:type="dxa"/>
            <w:noWrap/>
          </w:tcPr>
          <w:p>
            <w:pPr>
              <w:jc w:val="start"/>
              <w:spacing w:before="0" w:after="0"/>
            </w:pPr>
            <w:r>
              <w:rPr/>
              <w:t xml:space="preserve">USD 1.828</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1.159</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6"/>
            <w:noWrap/>
          </w:tcPr>
          <w:p>
            <w:pPr>
              <w:jc w:val="start"/>
              <w:spacing w:before="0" w:after="0"/>
            </w:pPr>
            <w:r>
              <w:rPr/>
              <w:t xml:space="preserve">*La acomodación en Triple o Cuádruple será la cantidad de adultos según aplique compartiendo dos camas. (En ningún caso se adicionará una cama adicional o similar).</w:t>
            </w:r>
          </w:p>
        </w:tc>
      </w:tr>
      <w:tr>
        <w:trPr/>
        <w:tc>
          <w:tcPr>
            <w:tcW w:w="7800" w:type="dxa"/>
            <w:gridSpan w:val="6"/>
            <w:noWrap/>
          </w:tcPr>
          <w:p>
            <w:pPr>
              <w:jc w:val="start"/>
              <w:spacing w:before="0" w:after="0"/>
            </w:pPr>
            <w:r>
              <w:rPr>
                <w:b w:val="1"/>
                <w:bCs w:val="1"/>
              </w:rPr>
              <w:t xml:space="preserve">Política de niños:</w:t>
            </w:r>
          </w:p>
          <w:p>
            <w:pPr>
              <w:numPr>
                <w:ilvl w:val="0"/>
                <w:numId w:val="1"/>
              </w:numPr>
            </w:pPr>
            <w:r>
              <w:rPr/>
              <w:t xml:space="preserve">Niños compartiendo en la misma habitación con sus padres sin cama adicional.</w:t>
            </w:r>
          </w:p>
          <w:p>
            <w:pPr>
              <w:numPr>
                <w:ilvl w:val="0"/>
                <w:numId w:val="1"/>
              </w:numPr>
            </w:pPr>
            <w:r>
              <w:rPr/>
              <w:t xml:space="preserve">0 – 2 años gratis (sin alimentación y sin derecho a asiento en los transportes terrestres).</w:t>
            </w:r>
          </w:p>
          <w:p>
            <w:pPr>
              <w:numPr>
                <w:ilvl w:val="0"/>
                <w:numId w:val="1"/>
              </w:numPr>
            </w:pPr>
            <w:r>
              <w:rPr/>
              <w:t xml:space="preserve">3 – 16 años aplica tarifa de niño.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New York</w:t>
            </w:r>
          </w:p>
        </w:tc>
        <w:tc>
          <w:tcPr>
            <w:tcW w:w="7800" w:type="dxa"/>
            <w:noWrap/>
          </w:tcPr>
          <w:p>
            <w:pPr>
              <w:jc w:val="start"/>
              <w:spacing w:before="0" w:after="0"/>
            </w:pPr>
            <w:r>
              <w:rPr/>
              <w:t xml:space="preserve">Wyndham New Yorker Hotel</w:t>
            </w:r>
          </w:p>
        </w:tc>
      </w:tr>
      <w:tr>
        <w:trPr/>
        <w:tc>
          <w:tcPr>
            <w:tcW w:w="7800" w:type="dxa"/>
            <w:noWrap/>
          </w:tcPr>
          <w:p>
            <w:pPr>
              <w:jc w:val="start"/>
              <w:spacing w:before="0" w:after="0"/>
            </w:pPr>
            <w:r>
              <w:rPr/>
              <w:t xml:space="preserve">Washington</w:t>
            </w:r>
          </w:p>
        </w:tc>
        <w:tc>
          <w:tcPr>
            <w:tcW w:w="7800" w:type="dxa"/>
            <w:noWrap/>
          </w:tcPr>
          <w:p>
            <w:pPr>
              <w:jc w:val="start"/>
              <w:spacing w:before="0" w:after="0"/>
            </w:pPr>
            <w:r>
              <w:rPr/>
              <w:t xml:space="preserve">Westin Washington DC City Center</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Holiday Inn Niagara Falls / Sheraton Niagara Falls</w:t>
            </w:r>
          </w:p>
        </w:tc>
      </w:tr>
      <w:tr>
        <w:trPr/>
        <w:tc>
          <w:tcPr>
            <w:tcW w:w="7800" w:type="dxa"/>
            <w:noWrap/>
          </w:tcPr>
          <w:p>
            <w:pPr>
              <w:jc w:val="start"/>
              <w:spacing w:before="0" w:after="0"/>
            </w:pPr>
            <w:r>
              <w:rPr/>
              <w:t xml:space="preserve">Wakefield</w:t>
            </w:r>
          </w:p>
        </w:tc>
        <w:tc>
          <w:tcPr>
            <w:tcW w:w="7800" w:type="dxa"/>
            <w:noWrap/>
          </w:tcPr>
          <w:p>
            <w:pPr>
              <w:jc w:val="start"/>
              <w:spacing w:before="0" w:after="0"/>
            </w:pPr>
            <w:r>
              <w:rPr/>
              <w:t xml:space="preserve">Four Points by Sheraton Wakefield Boston Hotel.</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r>
        <w:trPr/>
        <w:tc>
          <w:tcPr>
            <w:tcW w:w="7800" w:type="dxa"/>
            <w:gridSpan w:val="2"/>
            <w:noWrap/>
          </w:tcPr>
          <w:p>
            <w:pPr>
              <w:jc w:val="start"/>
              <w:spacing w:before="0" w:after="0"/>
            </w:pPr>
            <w:r>
              <w:rPr/>
              <w:t xml:space="preserve">Confirmación de los hoteles definitivos estarán disponibles 30 días antes de la salida. Es responsabilidad de la agencia vendedora de solicitar dicha información.</w:t>
            </w:r>
          </w:p>
        </w:tc>
      </w:tr>
      <w:tr>
        <w:trPr/>
        <w:tc>
          <w:tcPr>
            <w:tcW w:w="7800" w:type="dxa"/>
            <w:gridSpan w:val="2"/>
            <w:noWrap/>
          </w:tcPr>
          <w:p>
            <w:pPr>
              <w:jc w:val="start"/>
              <w:spacing w:before="0" w:after="0"/>
            </w:pPr>
            <w:r>
              <w:rPr>
                <w:b w:val="1"/>
                <w:bCs w:val="1"/>
              </w:rPr>
              <w:t xml:space="preserve">HOTELES DE RECOGIDA:</w:t>
            </w:r>
          </w:p>
          <w:p>
            <w:pPr>
              <w:numPr>
                <w:ilvl w:val="0"/>
                <w:numId w:val="3"/>
              </w:numPr>
            </w:pPr>
            <w:r>
              <w:rPr/>
              <w:t xml:space="preserve">8:00hrs. – The New Yorker, A Wyndham Hotel.</w:t>
            </w:r>
          </w:p>
          <w:p>
            <w:pPr>
              <w:jc w:val="start"/>
              <w:spacing w:before="0" w:after="0"/>
            </w:pPr>
            <w:r>
              <w:rPr/>
              <w:t xml:space="preserve">Los clientes alojados en hoteles diferentes deben dirigirse por su cuenta a los hoteles indicados y la hora prevista para la salida del circuito (20 minutos antes).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Alojamiento 08 noches en hoteles de categoría turista superior.</w:t>
      </w:r>
    </w:p>
    <w:p>
      <w:pPr>
        <w:numPr>
          <w:ilvl w:val="1"/>
          <w:numId w:val="4"/>
        </w:numPr>
      </w:pPr>
      <w:r>
        <w:rPr/>
        <w:t xml:space="preserve">Incluye 8 Desayunos americanos.</w:t>
      </w:r>
    </w:p>
    <w:p>
      <w:pPr>
        <w:numPr>
          <w:ilvl w:val="1"/>
          <w:numId w:val="4"/>
        </w:numPr>
      </w:pPr>
      <w:r>
        <w:rPr/>
        <w:t xml:space="preserve">Incluye Crucero Maid of the Mist (Opera de mayo a octubre) fuera de esta temporada se sustituye por las cuevas del viento.</w:t>
      </w:r>
    </w:p>
    <w:p>
      <w:pPr>
        <w:numPr>
          <w:ilvl w:val="1"/>
          <w:numId w:val="4"/>
        </w:numPr>
      </w:pPr>
      <w:r>
        <w:rPr/>
        <w:t xml:space="preserve">Incluye manejo de 1 maleta por pasajero durante el recorrido, maletas adicionales tienen costo adicional.</w:t>
      </w:r>
    </w:p>
    <w:p>
      <w:pPr>
        <w:numPr>
          <w:ilvl w:val="1"/>
          <w:numId w:val="4"/>
        </w:numPr>
      </w:pPr>
      <w:r>
        <w:rPr/>
        <w:t xml:space="preserve">Tour de alto y Bajo Manhattan.</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Tiquetes aéreos nacionales e internacionales.</w:t>
      </w:r>
    </w:p>
    <w:p>
      <w:pPr>
        <w:numPr>
          <w:ilvl w:val="1"/>
          <w:numId w:val="4"/>
        </w:numPr>
      </w:pPr>
      <w:r>
        <w:rPr/>
        <w:t xml:space="preserve">Gastos personales.</w:t>
      </w:r>
    </w:p>
    <w:p>
      <w:pPr>
        <w:numPr>
          <w:ilvl w:val="1"/>
          <w:numId w:val="4"/>
        </w:numPr>
      </w:pPr>
      <w:r>
        <w:rPr/>
        <w:t xml:space="preserve">Bebidas en las comidas mencionadas en el programa. </w:t>
      </w:r>
    </w:p>
    <w:p>
      <w:pPr>
        <w:numPr>
          <w:ilvl w:val="1"/>
          <w:numId w:val="4"/>
        </w:numPr>
      </w:pPr>
      <w:r>
        <w:rPr/>
        <w:t xml:space="preserve">Propinas para maleteros, trasladistas, guías y meseros. </w:t>
      </w:r>
    </w:p>
    <w:p>
      <w:pPr>
        <w:numPr>
          <w:ilvl w:val="1"/>
          <w:numId w:val="4"/>
        </w:numPr>
      </w:pPr>
      <w:r>
        <w:rPr/>
        <w:t xml:space="preserve">Servicios no mencionados.</w:t>
      </w:r>
    </w:p>
    <w:p>
      <w:pPr>
        <w:numPr>
          <w:ilvl w:val="1"/>
          <w:numId w:val="4"/>
        </w:numPr>
      </w:pPr>
      <w:r>
        <w:rPr/>
        <w:t xml:space="preserve">2% de fee bancario</w:t>
      </w:r>
    </w:p>
    <w:p>
      <w:pPr>
        <w:numPr>
          <w:ilvl w:val="1"/>
          <w:numId w:val="4"/>
        </w:numPr>
      </w:pPr>
      <w:r>
        <w:rPr/>
        <w:t xml:space="preserve">Tarjeta de asistencia médica.</w:t>
      </w:r>
    </w:p>
    <w:p>
      <w:pPr>
        <w:numPr>
          <w:ilvl w:val="1"/>
          <w:numId w:val="4"/>
        </w:numPr>
      </w:pPr>
      <w:r>
        <w:rPr/>
        <w:t xml:space="preserve">Traslado de entrada y salida en New York.</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F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C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5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5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2025-12-17T21:06:09+00:00</dcterms:created>
  <dcterms:modified xsi:type="dcterms:W3CDTF">2025-12-17T21:06:09+00:00</dcterms:modified>
</cp:coreProperties>
</file>

<file path=docProps/custom.xml><?xml version="1.0" encoding="utf-8"?>
<Properties xmlns="http://schemas.openxmlformats.org/officeDocument/2006/custom-properties" xmlns:vt="http://schemas.openxmlformats.org/officeDocument/2006/docPropsVTypes"/>
</file>