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ACAPULCO MARAVILLOSO Y  CDMX CLÁSICO                    </w:t>
      </w:r>
    </w:p>
    <w:p>
      <w:pPr/>
      <w:r>
        <w:rPr>
          <w:rFonts w:ascii="Arial" w:hAnsi="Arial" w:eastAsia="Arial" w:cs="Arial"/>
          <w:color w:val="light"/>
          <w:sz w:val="22"/>
          <w:szCs w:val="22"/>
          <w:b w:val="0"/>
          <w:bCs w:val="0"/>
        </w:rPr>
        <w:t xml:space="preserve">MTC - 40571</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$852</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México,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Ciudad de México, </w:t>
      </w:r>
      <w:r>
        <w:rPr/>
        <w:t xml:space="preserve">Acapulco,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b w:val="1"/>
          <w:bCs w:val="1"/>
        </w:rPr>
        <w:t xml:space="preserve">DÍA 01 LLEGADA A CIUDAD DE MÉXICO.</w:t>
      </w:r>
      <w:br/>
      <w:r>
        <w:rPr/>
        <w:t xml:space="preserve">Arribo al Aeropuerto Internacional de la Ciudad de México, recepción y bienvenida por el personal. Durante el traslado al Hotel el guía dará indicaciones acerca de los recorridos. Registro en el hotel (habitaciones se entregan a partir de las 15:00 horas). Alojamiento. (Este día no es posible incluir desayuno ni almuerzo)</w:t>
      </w:r>
    </w:p>
    <w:p>
      <w:pPr/>
      <w:r>
        <w:rPr>
          <w:b w:val="1"/>
          <w:bCs w:val="1"/>
        </w:rPr>
        <w:t xml:space="preserve">DÍA 02 TOUR CD DE MÉXICO (SIN MUSEO) (no opera los domingos).</w:t>
      </w:r>
      <w:br/>
      <w:r>
        <w:rPr/>
        <w:t xml:space="preserve">Después del desayuno incluido iniciaremos el recorrido por el Centro Histórico de la "Ciudad de los Palacios" como alguna vez fue bautizada por sus bellas construcciones coloniales, visitará: la Plaza de la Constitución o Zócalo, el Palacio Nacional con los famosos murales de Diego Rivera (sí las autoridades lo permiten), la Catedral Metropolitana y panorámica del Templo Mayor Azteca principales avenidas y monumentos.</w:t>
      </w:r>
    </w:p>
    <w:p>
      <w:pPr/>
      <w:r>
        <w:rPr>
          <w:b w:val="1"/>
          <w:bCs w:val="1"/>
        </w:rPr>
        <w:t xml:space="preserve">DÍA 03 BASÍLICA DE GUADALUPE – PIRAMIDES DE TEOTIHUACÁN.</w:t>
      </w:r>
      <w:br/>
      <w:r>
        <w:rPr/>
        <w:t xml:space="preserve">Después del desayuno incluido nos dirigiremos a la Plaza de las Tres Culturas y veremos el antiguo mercado de Tlatelolco, continuamos a la Basílica de la Virgen de Guadalupe, Santuario de la Patrona de los mexicanos, en donde podremos admirar el manto genuino de Juan Diego con la Virgen, tiempo para escuchar misa garantizado. Continuaremos el recorrido por la zona arqueológica de Teotihuacán, donde conoceremos las pirámides del Sol y la Luna, así como otras ruinas de igual importancia, además de una breve explicación sobre la elaboración del pulque “El Licor Blanco” (bebida tradicional del México prehispánico) y la artesanía en obsidiana. Regreso al hotel, alojamiento.    </w:t>
      </w:r>
    </w:p>
    <w:p>
      <w:pPr/>
      <w:r>
        <w:rPr>
          <w:b w:val="1"/>
          <w:bCs w:val="1"/>
        </w:rPr>
        <w:t xml:space="preserve">DÍA 04 CUERNAVACA – TAXCO.</w:t>
      </w:r>
      <w:br/>
      <w:r>
        <w:rPr/>
        <w:t xml:space="preserve">Desayuno incluido saldremos hacia Cuernavaca “La Ciudad de la Eterna Primavera”, donde visitaremos el centro histórico con su bella Catedral, la más antigua de México; Al finalizar seguiremos nuestro camino al Pueblo Mágico de Taxco, es una pequeña ciudad colonial localizada al pie de las laderas de la Sierra Madre del Sur con un estilo único de arquitectura el cual sobresale por sus calles empedradas con casas blancas techos de tejas rojas. Los balcones de hierro en las ventanas que están normalmente rebosantes de hermosas flores colgantes. Taxco es también conocido como la capital productora de plata de México así que encontrará una gran variedad de artículos de plata para comprar. Disfrutaremos de un tiempo libre por las calles empedradas, visitaremos la catedral de Santa Prisca y gozaremos la atmósfera de un pueblo típico mexicano. Registro en el hotel.  Alojamiento.  *NOTA: Recordar que deberá desocupar la habitación y llevar su equipaje, esta noche dormirá en Taxco.</w:t>
      </w:r>
    </w:p>
    <w:p>
      <w:pPr/>
      <w:r>
        <w:rPr>
          <w:b w:val="1"/>
          <w:bCs w:val="1"/>
        </w:rPr>
        <w:t xml:space="preserve">DÍA 05 TAXCO – ACAPULCO.</w:t>
      </w:r>
      <w:br/>
      <w:r>
        <w:rPr/>
        <w:t xml:space="preserve">Desayuno incluido, a la hora prevista saldremos hacia el paradisiaco puerto de Acapulco. (pasajeros individuales el trayecto Taxco - Acapulco será en autobús de línea, incluye boleto de autobús y traslados hotel – autobús - hotel). Registro en el Hotel para disfrutar del Sistema Todo Incluido.  *NOTA: Recordar que deberá desocupar la habitación y llevar su equipaje, esta noche dormirá en Acapulco.</w:t>
      </w:r>
    </w:p>
    <w:p>
      <w:pPr/>
      <w:r>
        <w:rPr>
          <w:b w:val="1"/>
          <w:bCs w:val="1"/>
        </w:rPr>
        <w:t xml:space="preserve">DÍA 06 ACAPULCO.</w:t>
      </w:r>
      <w:br/>
      <w:r>
        <w:rPr/>
        <w:t xml:space="preserve">Día libre para disfrutar de las playas de Acapulco y nuestro sistema todo incluido, así como actividades personales. Alojamiento.</w:t>
      </w:r>
    </w:p>
    <w:p>
      <w:pPr/>
      <w:r>
        <w:rPr>
          <w:b w:val="1"/>
          <w:bCs w:val="1"/>
        </w:rPr>
        <w:t xml:space="preserve">DÍA 07 ACAPULCO – MÉXICO.</w:t>
      </w:r>
      <w:br/>
      <w:r>
        <w:rPr/>
        <w:t xml:space="preserve">Desayuno incluido, a la hora indicada saldremos con destino a la Ciudad de México (pasajeros individuales el regreso Acapulco – México será en autobús de línea, incluye boleto de autobús y traslados en Acapulco y Cd de México). Al llegar, registro en el Hotel. Alojamiento.</w:t>
      </w:r>
    </w:p>
    <w:p>
      <w:pPr/>
      <w:r>
        <w:rPr>
          <w:b w:val="1"/>
          <w:bCs w:val="1"/>
        </w:rPr>
        <w:t xml:space="preserve">DÍA 08 AEROPUERTO CIUDAD DE MÉXICO.</w:t>
      </w:r>
      <w:br/>
      <w:r>
        <w:rPr/>
        <w:t xml:space="preserve">Después del desayuno incluido a la hora prevista traslado al Aeropuerto para tomar vuelo con destino a Casa (independiente al horario de traslado al aeropuerto la habitación debe desocuparse máximo a las 12:00 horas, es decir media día). FIN DE NUESTROS SERVICIOS. (Este día no es posible incluir almuerzo ni cena)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5"/>
            <w:noWrap/>
          </w:tcPr>
          <w:p>
            <w:pPr>
              <w:jc w:val="start"/>
              <w:spacing w:before="0" w:after="0"/>
            </w:pPr>
            <w:r>
              <w:rPr>
                <w:color w:val="ffffff"/>
                <w:sz w:val="21"/>
                <w:szCs w:val="21"/>
                <w:b w:val="1"/>
                <w:bCs w:val="1"/>
                <w:shd w:val="clear" w:fill="152441"/>
              </w:rPr>
              <w:t xml:space="preserve">PRECIOS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HOTELES</w:t>
            </w:r>
          </w:p>
        </w:tc>
        <w:tc>
          <w:tcPr>
            <w:tcW w:w="7800" w:type="dxa"/>
            <w:noWrap/>
          </w:tcPr>
          <w:p>
            <w:pPr>
              <w:jc w:val="start"/>
              <w:spacing w:before="0" w:after="0"/>
            </w:pPr>
            <w:r>
              <w:rPr>
                <w:b w:val="1"/>
                <w:bCs w:val="1"/>
              </w:rPr>
              <w:t xml:space="preserve">SGL</w:t>
            </w:r>
          </w:p>
        </w:tc>
        <w:tc>
          <w:tcPr>
            <w:tcW w:w="7800" w:type="dxa"/>
            <w:noWrap/>
          </w:tcPr>
          <w:p>
            <w:pPr>
              <w:jc w:val="start"/>
              <w:spacing w:before="0" w:after="0"/>
            </w:pPr>
            <w:r>
              <w:rPr>
                <w:b w:val="1"/>
                <w:bCs w:val="1"/>
              </w:rPr>
              <w:t xml:space="preserve">DBL</w:t>
            </w:r>
          </w:p>
        </w:tc>
        <w:tc>
          <w:tcPr>
            <w:tcW w:w="7800" w:type="dxa"/>
            <w:noWrap/>
          </w:tcPr>
          <w:p>
            <w:pPr>
              <w:jc w:val="start"/>
              <w:spacing w:before="0" w:after="0"/>
            </w:pPr>
            <w:r>
              <w:rPr>
                <w:b w:val="1"/>
                <w:bCs w:val="1"/>
              </w:rPr>
              <w:t xml:space="preserve">TPL</w:t>
            </w:r>
            <w:r>
              <w:rPr/>
              <w:t xml:space="preserve">*</w:t>
            </w:r>
          </w:p>
        </w:tc>
        <w:tc>
          <w:tcPr>
            <w:tcW w:w="7800" w:type="dxa"/>
            <w:noWrap/>
          </w:tcPr>
          <w:p>
            <w:pPr>
              <w:jc w:val="start"/>
              <w:spacing w:before="0" w:after="0"/>
            </w:pPr>
            <w:r>
              <w:rPr>
                <w:b w:val="1"/>
                <w:bCs w:val="1"/>
              </w:rPr>
              <w:t xml:space="preserve">CHD</w:t>
            </w:r>
          </w:p>
        </w:tc>
      </w:tr>
      <w:tr>
        <w:trPr/>
        <w:tc>
          <w:tcPr>
            <w:tcW w:w="7800" w:type="dxa"/>
            <w:noWrap/>
          </w:tcPr>
          <w:p>
            <w:pPr>
              <w:jc w:val="start"/>
              <w:spacing w:before="0" w:after="0"/>
            </w:pPr>
            <w:r>
              <w:rPr/>
              <w:t xml:space="preserve">Regente - 3*s.</w:t>
            </w:r>
          </w:p>
        </w:tc>
        <w:tc>
          <w:tcPr>
            <w:tcW w:w="7800" w:type="dxa"/>
            <w:noWrap/>
          </w:tcPr>
          <w:p>
            <w:pPr>
              <w:jc w:val="start"/>
              <w:spacing w:before="0" w:after="0"/>
            </w:pPr>
            <w:r>
              <w:rPr/>
              <w:t xml:space="preserve">USD 1.301</w:t>
            </w:r>
          </w:p>
        </w:tc>
        <w:tc>
          <w:tcPr>
            <w:tcW w:w="7800" w:type="dxa"/>
            <w:noWrap/>
          </w:tcPr>
          <w:p>
            <w:pPr>
              <w:jc w:val="start"/>
              <w:spacing w:before="0" w:after="0"/>
            </w:pPr>
            <w:r>
              <w:rPr/>
              <w:t xml:space="preserve">USD 913</w:t>
            </w:r>
          </w:p>
        </w:tc>
        <w:tc>
          <w:tcPr>
            <w:tcW w:w="7800" w:type="dxa"/>
            <w:noWrap/>
          </w:tcPr>
          <w:p>
            <w:pPr>
              <w:jc w:val="start"/>
              <w:spacing w:before="0" w:after="0"/>
            </w:pPr>
            <w:r>
              <w:rPr/>
              <w:t xml:space="preserve">USD 852</w:t>
            </w:r>
          </w:p>
        </w:tc>
        <w:tc>
          <w:tcPr>
            <w:tcW w:w="7800" w:type="dxa"/>
            <w:noWrap/>
          </w:tcPr>
          <w:p>
            <w:pPr>
              <w:jc w:val="start"/>
              <w:spacing w:before="0" w:after="0"/>
            </w:pPr>
            <w:r>
              <w:rPr/>
              <w:t xml:space="preserve">USD 499</w:t>
            </w:r>
          </w:p>
        </w:tc>
      </w:tr>
      <w:tr>
        <w:trPr/>
        <w:tc>
          <w:tcPr>
            <w:tcW w:w="7800" w:type="dxa"/>
            <w:noWrap/>
          </w:tcPr>
          <w:p>
            <w:pPr>
              <w:jc w:val="start"/>
              <w:spacing w:before="0" w:after="0"/>
            </w:pPr>
            <w:r>
              <w:rPr/>
              <w:t xml:space="preserve">Royal reforma - 4*.</w:t>
            </w:r>
          </w:p>
        </w:tc>
        <w:tc>
          <w:tcPr>
            <w:tcW w:w="7800" w:type="dxa"/>
            <w:noWrap/>
          </w:tcPr>
          <w:p>
            <w:pPr>
              <w:jc w:val="start"/>
              <w:spacing w:before="0" w:after="0"/>
            </w:pPr>
            <w:r>
              <w:rPr/>
              <w:t xml:space="preserve">USD 1.387</w:t>
            </w:r>
          </w:p>
        </w:tc>
        <w:tc>
          <w:tcPr>
            <w:tcW w:w="7800" w:type="dxa"/>
            <w:noWrap/>
          </w:tcPr>
          <w:p>
            <w:pPr>
              <w:jc w:val="start"/>
              <w:spacing w:before="0" w:after="0"/>
            </w:pPr>
            <w:r>
              <w:rPr/>
              <w:t xml:space="preserve">USD 945</w:t>
            </w:r>
          </w:p>
        </w:tc>
        <w:tc>
          <w:tcPr>
            <w:tcW w:w="7800" w:type="dxa"/>
            <w:noWrap/>
          </w:tcPr>
          <w:p>
            <w:pPr>
              <w:jc w:val="start"/>
              <w:spacing w:before="0" w:after="0"/>
            </w:pPr>
            <w:r>
              <w:rPr/>
              <w:t xml:space="preserve">USD 895</w:t>
            </w:r>
          </w:p>
        </w:tc>
        <w:tc>
          <w:tcPr>
            <w:tcW w:w="7800" w:type="dxa"/>
            <w:noWrap/>
          </w:tcPr>
          <w:p>
            <w:pPr>
              <w:jc w:val="start"/>
              <w:spacing w:before="0" w:after="0"/>
            </w:pPr>
            <w:r>
              <w:rPr/>
              <w:t xml:space="preserve">USD 531</w:t>
            </w:r>
          </w:p>
        </w:tc>
      </w:tr>
      <w:tr>
        <w:trPr/>
        <w:tc>
          <w:tcPr>
            <w:tcW w:w="7800" w:type="dxa"/>
            <w:noWrap/>
          </w:tcPr>
          <w:p>
            <w:pPr>
              <w:jc w:val="start"/>
              <w:spacing w:before="0" w:after="0"/>
            </w:pPr>
            <w:r>
              <w:rPr/>
              <w:t xml:space="preserve">Casa Blanca (Hab. Deluxe)– 4*s.</w:t>
            </w:r>
          </w:p>
        </w:tc>
        <w:tc>
          <w:tcPr>
            <w:tcW w:w="7800" w:type="dxa"/>
            <w:noWrap/>
          </w:tcPr>
          <w:p>
            <w:pPr>
              <w:jc w:val="start"/>
              <w:spacing w:before="0" w:after="0"/>
            </w:pPr>
            <w:r>
              <w:rPr/>
              <w:t xml:space="preserve">USD 1.435</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932</w:t>
            </w:r>
          </w:p>
        </w:tc>
        <w:tc>
          <w:tcPr>
            <w:tcW w:w="7800" w:type="dxa"/>
            <w:noWrap/>
          </w:tcPr>
          <w:p>
            <w:pPr>
              <w:jc w:val="start"/>
              <w:spacing w:before="0" w:after="0"/>
            </w:pPr>
            <w:r>
              <w:rPr/>
              <w:t xml:space="preserve">USD 499</w:t>
            </w:r>
          </w:p>
        </w:tc>
      </w:tr>
      <w:tr>
        <w:trPr/>
        <w:tc>
          <w:tcPr>
            <w:tcW w:w="7800" w:type="dxa"/>
            <w:gridSpan w:val="5"/>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5"/>
            <w:noWrap/>
          </w:tcPr>
          <w:p>
            <w:pPr>
              <w:jc w:val="start"/>
              <w:spacing w:before="0" w:after="0"/>
            </w:pPr>
            <w:r>
              <w:rPr/>
              <w:t xml:space="preserve">*Las habitaciones triples únicamente cuentan con 2 camas matrimoniales, por tanto 2 pasajeros deberán dormir en una misma cama.</w:t>
            </w:r>
          </w:p>
        </w:tc>
      </w:tr>
      <w:tr>
        <w:trPr/>
        <w:tc>
          <w:tcPr>
            <w:tcW w:w="7800" w:type="dxa"/>
            <w:gridSpan w:val="5"/>
            <w:noWrap/>
          </w:tcPr>
          <w:p>
            <w:pPr>
              <w:jc w:val="start"/>
              <w:spacing w:before="0" w:after="0"/>
            </w:pPr>
            <w:r>
              <w:rPr>
                <w:b w:val="1"/>
                <w:bCs w:val="1"/>
              </w:rPr>
              <w:t xml:space="preserve">POLÍTICA DE NIÑOS:</w:t>
            </w:r>
          </w:p>
          <w:p>
            <w:pPr>
              <w:numPr>
                <w:ilvl w:val="0"/>
                <w:numId w:val="1"/>
              </w:numPr>
            </w:pPr>
            <w:r>
              <w:rPr/>
              <w:t xml:space="preserve">0 – 2.99 años gratis en servicios terrestres.</w:t>
            </w:r>
          </w:p>
          <w:p>
            <w:pPr>
              <w:numPr>
                <w:ilvl w:val="0"/>
                <w:numId w:val="1"/>
              </w:numPr>
            </w:pPr>
            <w:r>
              <w:rPr/>
              <w:t xml:space="preserve">3 – 11 años aplica tarifa de CHD.</w:t>
            </w:r>
          </w:p>
          <w:p>
            <w:pPr>
              <w:numPr>
                <w:ilvl w:val="0"/>
                <w:numId w:val="1"/>
              </w:numPr>
            </w:pPr>
            <w:r>
              <w:rPr/>
              <w:t xml:space="preserve">12 años en adelante aplica tarifa de adulto.</w:t>
            </w:r>
          </w:p>
        </w:tc>
      </w:tr>
      <w:tr>
        <w:trPr/>
        <w:tc>
          <w:tcPr>
            <w:tcW w:w="7800" w:type="dxa"/>
            <w:gridSpan w:val="5"/>
            <w:noWrap/>
          </w:tcPr>
          <w:p>
            <w:pPr>
              <w:jc w:val="start"/>
              <w:spacing w:before="0" w:after="0"/>
            </w:pPr>
            <w:r>
              <w:rPr>
                <w:b w:val="1"/>
                <w:bCs w:val="1"/>
              </w:rPr>
              <w:t xml:space="preserve">TARIFAS NO APLICAN:</w:t>
            </w:r>
          </w:p>
          <w:p>
            <w:pPr>
              <w:numPr>
                <w:ilvl w:val="0"/>
                <w:numId w:val="2"/>
              </w:numPr>
            </w:pPr>
            <w:r>
              <w:rPr/>
              <w:t xml:space="preserve">Semana Santa (11 al 26 de Abril 2025)</w:t>
            </w:r>
          </w:p>
          <w:p>
            <w:pPr>
              <w:numPr>
                <w:ilvl w:val="0"/>
                <w:numId w:val="2"/>
              </w:numPr>
            </w:pPr>
            <w:r>
              <w:rPr/>
              <w:t xml:space="preserve">Navidad y Fin de Año (19 al 31 de Diciembre 2025).</w:t>
            </w:r>
          </w:p>
          <w:p>
            <w:pPr>
              <w:numPr>
                <w:ilvl w:val="0"/>
                <w:numId w:val="2"/>
              </w:numPr>
            </w:pPr>
            <w:r>
              <w:rPr/>
              <w:t xml:space="preserve">01 al 04 Enero 2025 / 31 Enero al 02 Febrero 2025 / 14 al 16 Marzo 2025.</w:t>
            </w:r>
          </w:p>
          <w:p>
            <w:pPr>
              <w:numPr>
                <w:ilvl w:val="0"/>
                <w:numId w:val="2"/>
              </w:numPr>
            </w:pPr>
            <w:r>
              <w:rPr/>
              <w:t xml:space="preserve">01 al 05 Mayo 2025 / 12 al 16 Septiembre 2025 / 31 Octubre al 02 Noviembre 2025.</w:t>
            </w:r>
          </w:p>
        </w:tc>
      </w:tr>
    </w:tbl>
    <w:p>
      <w:pPr>
        <w:spacing w:before="0" w:after="0"/>
      </w:pPr>
      <w:r>
        <w:rPr/>
        <w:t xml:space="preserve"> </w:t>
      </w:r>
    </w:p>
    <w:p>
      <w:pPr>
        <w:spacing w:before="0" w:after="0"/>
      </w:pPr>
      <w:r>
        <w:rPr>
          <w:b w:val="1"/>
          <w:bCs w:val="1"/>
          <w:i w:val="1"/>
          <w:iCs w:val="1"/>
        </w:rPr>
        <w:t xml:space="preserve">TARIFA VIGENTE 15 DICIEMBRE 2025.</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3"/>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3"/>
              </w:numPr>
            </w:pPr>
            <w:r>
              <w:rPr/>
              <w:t xml:space="preserve">No nos haremos responsables por los servicios contratados en otras empresas.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 DE MÉXICO</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t xml:space="preserve">Regente</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Royal reforma</w:t>
            </w:r>
          </w:p>
        </w:tc>
        <w:tc>
          <w:tcPr>
            <w:tcW w:w="7800" w:type="dxa"/>
            <w:noWrap/>
          </w:tcPr>
          <w:p>
            <w:pPr>
              <w:jc w:val="start"/>
              <w:spacing w:before="0" w:after="0"/>
            </w:pPr>
            <w:r>
              <w:rPr/>
              <w:t xml:space="preserve">4*</w:t>
            </w:r>
          </w:p>
        </w:tc>
      </w:tr>
      <w:tr>
        <w:trPr/>
        <w:tc>
          <w:tcPr>
            <w:tcW w:w="7800" w:type="dxa"/>
            <w:noWrap/>
          </w:tcPr>
          <w:p>
            <w:pPr>
              <w:jc w:val="start"/>
              <w:spacing w:before="0" w:after="0"/>
            </w:pPr>
            <w:r>
              <w:rPr/>
              <w:t xml:space="preserve">Casa blanca (hab. Deluxe)</w:t>
            </w:r>
          </w:p>
        </w:tc>
        <w:tc>
          <w:tcPr>
            <w:tcW w:w="7800" w:type="dxa"/>
            <w:noWrap/>
          </w:tcPr>
          <w:p>
            <w:pPr>
              <w:jc w:val="start"/>
              <w:spacing w:before="0" w:after="0"/>
            </w:pPr>
            <w:r>
              <w:rPr/>
              <w:t xml:space="preserve">4* Superior</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3 noches de hospedaje en Ciudad de México con desayuno</w:t>
      </w:r>
    </w:p>
    <w:p>
      <w:pPr>
        <w:numPr>
          <w:ilvl w:val="1"/>
          <w:numId w:val="4"/>
        </w:numPr>
      </w:pPr>
      <w:r>
        <w:rPr/>
        <w:t xml:space="preserve">1 noche de hospedaje en Taxco con desayuno</w:t>
      </w:r>
    </w:p>
    <w:p>
      <w:pPr>
        <w:numPr>
          <w:ilvl w:val="1"/>
          <w:numId w:val="4"/>
        </w:numPr>
      </w:pPr>
      <w:r>
        <w:rPr/>
        <w:t xml:space="preserve">2 noches de hospedaje en Acapulco con todo incluido (desayunos, almuerzos, cenas y bebidas ilimitadas en el hotel de Acapulco)</w:t>
      </w:r>
    </w:p>
    <w:p>
      <w:pPr>
        <w:numPr>
          <w:ilvl w:val="1"/>
          <w:numId w:val="4"/>
        </w:numPr>
      </w:pPr>
      <w:r>
        <w:rPr/>
        <w:t xml:space="preserve">1 noche de hospedaje en Ciudad de México con desayuno</w:t>
      </w:r>
    </w:p>
    <w:p>
      <w:pPr>
        <w:numPr>
          <w:ilvl w:val="1"/>
          <w:numId w:val="4"/>
        </w:numPr>
      </w:pPr>
      <w:r>
        <w:rPr/>
        <w:t xml:space="preserve">Tour de Basílica de Guadalupe y Pirámides de Teotihuacán.</w:t>
      </w:r>
    </w:p>
    <w:p>
      <w:pPr>
        <w:numPr>
          <w:ilvl w:val="1"/>
          <w:numId w:val="4"/>
        </w:numPr>
      </w:pPr>
      <w:r>
        <w:rPr/>
        <w:t xml:space="preserve">Tour de Ciudad de México (sin museo).</w:t>
      </w:r>
    </w:p>
    <w:p>
      <w:pPr>
        <w:numPr>
          <w:ilvl w:val="1"/>
          <w:numId w:val="4"/>
        </w:numPr>
      </w:pPr>
      <w:r>
        <w:rPr/>
        <w:t xml:space="preserve">Tour de Cuernavaca y Taxco.</w:t>
      </w:r>
    </w:p>
    <w:p>
      <w:pPr>
        <w:numPr>
          <w:ilvl w:val="1"/>
          <w:numId w:val="4"/>
        </w:numPr>
      </w:pPr>
      <w:r>
        <w:rPr/>
        <w:t xml:space="preserve">Transportación Taxco – Acapulco en autobús de línea (incluye traslados hotel – autobús – hotel).</w:t>
      </w:r>
    </w:p>
    <w:p>
      <w:pPr>
        <w:numPr>
          <w:ilvl w:val="1"/>
          <w:numId w:val="4"/>
        </w:numPr>
      </w:pPr>
      <w:r>
        <w:rPr/>
        <w:t xml:space="preserve">Transporte Acapulco – Ciudad de México en bus de línea de primera clase, (incluye traslados hotel – autobús – hotel)</w:t>
      </w:r>
    </w:p>
    <w:p>
      <w:pPr>
        <w:numPr>
          <w:ilvl w:val="1"/>
          <w:numId w:val="4"/>
        </w:numPr>
      </w:pPr>
      <w:r>
        <w:rPr/>
        <w:t xml:space="preserve">Traslado aeropuerto – hotel – aeropuerto.</w:t>
      </w:r>
    </w:p>
    <w:p>
      <w:pPr>
        <w:numPr>
          <w:ilvl w:val="1"/>
          <w:numId w:val="4"/>
        </w:numPr>
      </w:pPr>
      <w:r>
        <w:rPr/>
        <w:t xml:space="preserve">Traslados y tour en servicios compartidos con más personas.</w:t>
      </w:r>
    </w:p>
    <w:p>
      <w:pPr>
        <w:numPr>
          <w:ilvl w:val="1"/>
          <w:numId w:val="4"/>
        </w:numPr>
      </w:pPr>
      <w:r>
        <w:rPr/>
        <w:t xml:space="preserve">2 Almuerzos: uno en Teotihuacán y uno en el Tour de Taxco. </w:t>
      </w:r>
    </w:p>
    <w:p>
      <w:pPr>
        <w:numPr>
          <w:ilvl w:val="1"/>
          <w:numId w:val="4"/>
        </w:numPr>
      </w:pPr>
      <w:r>
        <w:rPr/>
        <w:t xml:space="preserve">Los almuerzos durante los tours no incluyen bebidas.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Tiquetes aéreos internacionales y/o domésticos.</w:t>
      </w:r>
    </w:p>
    <w:p>
      <w:pPr>
        <w:numPr>
          <w:ilvl w:val="1"/>
          <w:numId w:val="4"/>
        </w:numPr>
      </w:pPr>
      <w:r>
        <w:rPr/>
        <w:t xml:space="preserve">Gastos personales.</w:t>
      </w:r>
    </w:p>
    <w:p>
      <w:pPr>
        <w:numPr>
          <w:ilvl w:val="1"/>
          <w:numId w:val="4"/>
        </w:numPr>
      </w:pPr>
      <w:r>
        <w:rPr/>
        <w:t xml:space="preserve">Bebidas en las comidas mencionadas en el programa. </w:t>
      </w:r>
    </w:p>
    <w:p>
      <w:pPr>
        <w:numPr>
          <w:ilvl w:val="1"/>
          <w:numId w:val="4"/>
        </w:numPr>
      </w:pPr>
      <w:r>
        <w:rPr/>
        <w:t xml:space="preserve">Alimentación no mencionada (almuerzos, cenas o snacks).</w:t>
      </w:r>
    </w:p>
    <w:p>
      <w:pPr>
        <w:numPr>
          <w:ilvl w:val="1"/>
          <w:numId w:val="4"/>
        </w:numPr>
      </w:pPr>
      <w:r>
        <w:rPr/>
        <w:t xml:space="preserve">Propinas para maleteros, trasladistas, guías y meseros. </w:t>
      </w:r>
    </w:p>
    <w:p>
      <w:pPr>
        <w:numPr>
          <w:ilvl w:val="1"/>
          <w:numId w:val="4"/>
        </w:numPr>
      </w:pPr>
      <w:r>
        <w:rPr/>
        <w:t xml:space="preserve">Servicios no mencionados en el itinerario.</w:t>
      </w:r>
    </w:p>
    <w:p>
      <w:pPr>
        <w:numPr>
          <w:ilvl w:val="1"/>
          <w:numId w:val="4"/>
        </w:numPr>
      </w:pPr>
      <w:r>
        <w:rPr/>
        <w:t xml:space="preserve">Visitas opcionales adicionales</w:t>
      </w:r>
    </w:p>
    <w:p>
      <w:pPr>
        <w:numPr>
          <w:ilvl w:val="1"/>
          <w:numId w:val="4"/>
        </w:numPr>
      </w:pPr>
      <w:r>
        <w:rPr/>
        <w:t xml:space="preserve">Suplementos de fechas especiales como Semana Santa, Fiestas Patrias, Navidad y Año Nuevo obligatorios.</w:t>
      </w:r>
    </w:p>
    <w:p>
      <w:pPr>
        <w:numPr>
          <w:ilvl w:val="1"/>
          <w:numId w:val="4"/>
        </w:numPr>
      </w:pPr>
      <w:r>
        <w:rPr/>
        <w:t xml:space="preserve">Tarjeta de asistencia médica.</w:t>
      </w:r>
    </w:p>
    <w:p>
      <w:pPr>
        <w:numPr>
          <w:ilvl w:val="1"/>
          <w:numId w:val="4"/>
        </w:numPr>
      </w:pPr>
      <w:r>
        <w:rPr/>
        <w:t xml:space="preserve">2% del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1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0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D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2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2025-11-14T12:32:45+00:00</dcterms:created>
  <dcterms:modified xsi:type="dcterms:W3CDTF">2025-11-14T12:32:45+00:00</dcterms:modified>
</cp:coreProperties>
</file>

<file path=docProps/custom.xml><?xml version="1.0" encoding="utf-8"?>
<Properties xmlns="http://schemas.openxmlformats.org/officeDocument/2006/custom-properties" xmlns:vt="http://schemas.openxmlformats.org/officeDocument/2006/docPropsVTypes"/>
</file>