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COMBINACIÓN JAVA - BALI                    </w:t>
      </w:r>
    </w:p>
    <w:p>
      <w:pPr/>
      <w:r>
        <w:rPr>
          <w:rFonts w:ascii="Arial" w:hAnsi="Arial" w:eastAsia="Arial" w:cs="Arial"/>
          <w:color w:val="light"/>
          <w:sz w:val="22"/>
          <w:szCs w:val="22"/>
          <w:b w:val="0"/>
          <w:bCs w:val="0"/>
        </w:rPr>
        <w:t xml:space="preserve">MTC - 31660</w:t>
      </w:r>
    </w:p>
    <w:p>
      <w:pPr/>
      <w:r>
        <w:rPr>
          <w:rFonts w:ascii="Arial" w:hAnsi="Arial" w:eastAsia="Arial" w:cs="Arial"/>
          <w:color w:val="light"/>
          <w:sz w:val="22"/>
          <w:szCs w:val="22"/>
          <w:b w:val="0"/>
          <w:bCs w:val="0"/>
        </w:rPr>
        <w:t xml:space="preserve">11 Días y 10 Noches</w:t>
      </w:r>
    </w:p>
    <w:p/>
    <w:p/>
    <w:p>
      <w:pPr>
        <w:jc w:val="center"/>
        <w:spacing w:before="450"/>
      </w:pPr>
      <w:r>
        <w:rPr>
          <w:sz w:val="40.5"/>
          <w:szCs w:val="40.5"/>
        </w:rPr>
        <w:t xml:space="preserve">Desde $2540</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Indonesia,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Bali, </w:t>
      </w:r>
      <w:r>
        <w:rPr/>
        <w:t xml:space="preserve">Ubud, </w:t>
      </w:r>
      <w:r>
        <w:rPr/>
        <w:t xml:space="preserve">Jakarta, </w:t>
      </w:r>
      <w:r>
        <w:rPr/>
        <w:t xml:space="preserve">Candidasa, </w:t>
      </w:r>
      <w:r>
        <w:rPr/>
        <w:t xml:space="preserve">Lovina, </w:t>
      </w:r>
      <w:r>
        <w:rPr/>
        <w:t xml:space="preserve">Yogyakarta, </w:t>
      </w:r>
      <w:r>
        <w:rPr/>
        <w:t xml:space="preserve">Borobudur,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SUJETO A CAMBIOS, YA SEA POR PROBLEMAS CLIMATICOS U OPERACIONALES (SIEMPRE INCLUYENDO LOS MISMOS SERVICIOS)</w:t>
      </w:r>
    </w:p>
    <w:p>
      <w:pPr/>
      <w:r>
        <w:rPr>
          <w:b w:val="1"/>
          <w:bCs w:val="1"/>
        </w:rPr>
        <w:t xml:space="preserve">DÍA 01 LLEGADA A YAKARTA.</w:t>
      </w:r>
      <w:br/>
      <w:r>
        <w:rPr/>
        <w:t xml:space="preserve">A su llegada al aeropuerto de Yakarta encuentro con nuestro representante y traslado al hotel.</w:t>
      </w:r>
    </w:p>
    <w:p>
      <w:pPr/>
      <w:r>
        <w:rPr>
          <w:b w:val="1"/>
          <w:bCs w:val="1"/>
        </w:rPr>
        <w:t xml:space="preserve">Alojamiento en el hotel.</w:t>
      </w:r>
    </w:p>
    <w:p>
      <w:pPr/>
      <w:r>
        <w:rPr>
          <w:b w:val="1"/>
          <w:bCs w:val="1"/>
        </w:rPr>
        <w:t xml:space="preserve">DÍA 02 YAKARTA – YOGYAKARTA.</w:t>
      </w:r>
      <w:br/>
      <w:r>
        <w:rPr/>
        <w:t xml:space="preserve">Desayuno en el hotel.  Tour de medio día por la mañana en la ciudad. Incluye la visita a los templos de la antigua Batavia, Barrio Chino, el puente Kota Intan, Puerto Sunda Kelapa, el Museo Fatahillah y Puppet Museum. Después, traslado al aeropuerto y vuelo a Yogyakarta. Llegada, encuentro con el representante y traslado al hotel. Alojamiento en Yogyakarta.</w:t>
      </w:r>
    </w:p>
    <w:p>
      <w:pPr/>
      <w:r>
        <w:rPr>
          <w:b w:val="1"/>
          <w:bCs w:val="1"/>
        </w:rPr>
        <w:t xml:space="preserve">Régimen alimenticio: Desayuno.</w:t>
      </w:r>
    </w:p>
    <w:p>
      <w:pPr/>
      <w:r>
        <w:rPr>
          <w:b w:val="1"/>
          <w:bCs w:val="1"/>
        </w:rPr>
        <w:t xml:space="preserve">DÍA 03 YOHYAKARTA – BOROBUDUR – YOGYAKARTA.</w:t>
      </w:r>
      <w:br/>
      <w:r>
        <w:rPr/>
        <w:t xml:space="preserve">Después del desayuno, salida a Borobudur para visitar el templo de Borobudur, el templo de Candi Pawon y el Templo Candi Mendut.  Después del almuerzo, visite "Kraton", Sultan Palace y Kota Gede.</w:t>
      </w:r>
    </w:p>
    <w:p>
      <w:pPr/>
      <w:r>
        <w:rPr>
          <w:b w:val="1"/>
          <w:bCs w:val="1"/>
        </w:rPr>
        <w:t xml:space="preserve">Régimen alimenticio: Desayuno y almuerzo.</w:t>
      </w:r>
    </w:p>
    <w:p>
      <w:pPr/>
      <w:r>
        <w:rPr>
          <w:b w:val="1"/>
          <w:bCs w:val="1"/>
        </w:rPr>
        <w:t xml:space="preserve">DÍA 04 YOGYAKARTA – SUR DE BALI.</w:t>
      </w:r>
      <w:br/>
      <w:r>
        <w:rPr/>
        <w:t xml:space="preserve">Después del desayuno, visita al complejo de templos hindúes de Prambanan con Candi Shiva Mahadeva, Candi Brahma y Candi Vishnú, Candi Nandi y Candi Sewu.  Traslado al aeropuerto y vuelo a Bali.  Llegada, encuentro con el representante y traslado al hotel. Alojamiento en el hotel seleccionado.</w:t>
      </w:r>
    </w:p>
    <w:p>
      <w:pPr/>
      <w:r>
        <w:rPr>
          <w:b w:val="1"/>
          <w:bCs w:val="1"/>
        </w:rPr>
        <w:t xml:space="preserve">Régimen alimenticio: Desayuno.</w:t>
      </w:r>
    </w:p>
    <w:p>
      <w:pPr/>
      <w:r>
        <w:rPr>
          <w:b w:val="1"/>
          <w:bCs w:val="1"/>
        </w:rPr>
        <w:t xml:space="preserve">DÍA 05 SUR DE BALI.</w:t>
      </w:r>
      <w:br/>
      <w:r>
        <w:rPr/>
        <w:t xml:space="preserve">Desayuno en el hotel, Excursión de día completo. Comenzaremos visitando Barong y Kris Dance. Seguidamente, la cueva Goa Gajah, y a continuación el almuerzo en un restaurante local. Después, visite Tagalalang y el Templo Gunung Kawi en Sebatu. traslado al hotel. Alojamiento en el hotel seleccionado.</w:t>
      </w:r>
    </w:p>
    <w:p>
      <w:pPr/>
      <w:r>
        <w:rPr>
          <w:b w:val="1"/>
          <w:bCs w:val="1"/>
        </w:rPr>
        <w:t xml:space="preserve">Régimen alimenticio: Desayuno y almuerzo</w:t>
      </w:r>
    </w:p>
    <w:p>
      <w:pPr/>
      <w:r>
        <w:rPr>
          <w:b w:val="1"/>
          <w:bCs w:val="1"/>
        </w:rPr>
        <w:t xml:space="preserve">DÍA 06 SUR DE BALI.</w:t>
      </w:r>
      <w:br/>
      <w:r>
        <w:rPr/>
        <w:t xml:space="preserve">Desayuno. Día libre para su ocio. Por la tarde, visite el templo de Uluwatu para ver la puesta de sol. Después, espectáculo con Kecak Danza y una cena en la playa de Jimbaran (barbacoa de mariscos/sin langosta y sin bebidas) Alojamiento en el hotel seleccionado.</w:t>
      </w:r>
    </w:p>
    <w:p>
      <w:pPr/>
      <w:r>
        <w:rPr>
          <w:b w:val="1"/>
          <w:bCs w:val="1"/>
        </w:rPr>
        <w:t xml:space="preserve">Régimen alimenticio: Desayuno y cena</w:t>
      </w:r>
    </w:p>
    <w:p>
      <w:pPr/>
      <w:r>
        <w:rPr>
          <w:b w:val="1"/>
          <w:bCs w:val="1"/>
        </w:rPr>
        <w:t xml:space="preserve">DÍA 07 SUR DE BALI – LOVINA.</w:t>
      </w:r>
      <w:br/>
      <w:r>
        <w:rPr/>
        <w:t xml:space="preserve">Después del desayuno, salida hacia Lovina.  En ruta, visita al templo de Taman Ayun, el bosque de Kedaton de monos sagrados y el templo de Tanah Lot. Después del almuerzo, pasando por Bedugul, un lugar tranquilo y hermoso en la montaña, visitaremos el mercado de la fruta y de la flor y el Templo Ulun Danu en el lago Beratan. Llegada a Lovina y alojamiento en el hotel.</w:t>
      </w:r>
    </w:p>
    <w:p>
      <w:pPr/>
      <w:r>
        <w:rPr>
          <w:b w:val="1"/>
          <w:bCs w:val="1"/>
        </w:rPr>
        <w:t xml:space="preserve">Régimen de comidas: Desayuno y almuerzo.</w:t>
      </w:r>
    </w:p>
    <w:p>
      <w:pPr/>
      <w:r>
        <w:rPr>
          <w:b w:val="1"/>
          <w:bCs w:val="1"/>
        </w:rPr>
        <w:t xml:space="preserve">DÍA 08 LOVINA – CANDIDASA.</w:t>
      </w:r>
      <w:br/>
      <w:r>
        <w:rPr/>
        <w:t xml:space="preserve">Desayuno en el hotel. Salida hacia Candidasa. En ruta visita al templo Pura Beji en Kintamani. Almuerzo en un restaurante local para disfrutar de la vista panorámica del Monte Batur. Después, visitaremos el Templo Besakih para seguir el camino hasta llegar a Candidasa, por el pueblo de Sidemen, con los paisajes más bellos de la isla. Llegada y Alojamiento.</w:t>
      </w:r>
    </w:p>
    <w:p>
      <w:pPr/>
      <w:r>
        <w:rPr>
          <w:b w:val="1"/>
          <w:bCs w:val="1"/>
        </w:rPr>
        <w:t xml:space="preserve">Régimen alimenticio: Desayuno y almuerzo.</w:t>
      </w:r>
    </w:p>
    <w:p>
      <w:pPr/>
      <w:r>
        <w:rPr>
          <w:b w:val="1"/>
          <w:bCs w:val="1"/>
        </w:rPr>
        <w:t xml:space="preserve">DÍA 09 CANDIDASA – UBUD.</w:t>
      </w:r>
      <w:br/>
      <w:r>
        <w:rPr/>
        <w:t xml:space="preserve">Desayuno en hotel. Salida hacia Ubud, en ruta visita a Tenganan Village, el templo Goa Lawah, el pueblo de pescadores Kusamba y Taman Gili Complex. Después del almuerzo, salida hacia Ubud y alojamiento.</w:t>
      </w:r>
    </w:p>
    <w:p>
      <w:pPr/>
      <w:r>
        <w:rPr>
          <w:b w:val="1"/>
          <w:bCs w:val="1"/>
        </w:rPr>
        <w:t xml:space="preserve">Régimen alimenticio: Desayuno y almuerzo.</w:t>
      </w:r>
    </w:p>
    <w:p>
      <w:pPr/>
      <w:r>
        <w:rPr>
          <w:b w:val="1"/>
          <w:bCs w:val="1"/>
        </w:rPr>
        <w:t xml:space="preserve">DÍA 10 UBU.</w:t>
      </w:r>
      <w:br/>
      <w:r>
        <w:rPr/>
        <w:t xml:space="preserve">Desayuno. Día libre para su ocio. Pasarán la noche en Bali</w:t>
      </w:r>
    </w:p>
    <w:p>
      <w:pPr/>
      <w:r>
        <w:rPr>
          <w:b w:val="1"/>
          <w:bCs w:val="1"/>
        </w:rPr>
        <w:t xml:space="preserve">Régimen alimenticio: Desayuno.</w:t>
      </w:r>
    </w:p>
    <w:p>
      <w:pPr/>
      <w:r>
        <w:rPr>
          <w:b w:val="1"/>
          <w:bCs w:val="1"/>
        </w:rPr>
        <w:t xml:space="preserve">DÍA 11 UBUD.</w:t>
      </w:r>
      <w:br/>
      <w:r>
        <w:rPr/>
        <w:t xml:space="preserve">Desayuno en el hotel. Traslado al aeropuerto de Denpasar para tomar su vuelo de salida.</w:t>
      </w:r>
    </w:p>
    <w:p>
      <w:pPr/>
      <w:r>
        <w:rPr>
          <w:b w:val="1"/>
          <w:bCs w:val="1"/>
        </w:rPr>
        <w:t xml:space="preserve">Régimen alimenticio: Desayuno.</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3"/>
            <w:noWrap/>
          </w:tcPr>
          <w:p>
            <w:pPr>
              <w:jc w:val="start"/>
              <w:spacing w:before="0" w:after="0"/>
            </w:pPr>
            <w:r>
              <w:rPr>
                <w:color w:val="ffffff"/>
                <w:sz w:val="21"/>
                <w:szCs w:val="21"/>
                <w:b w:val="1"/>
                <w:bCs w:val="1"/>
                <w:shd w:val="clear" w:fill="152441"/>
              </w:rPr>
              <w:t xml:space="preserve">PRECIOS EN DOLARES AMERICANOS POR PERSONA </w:t>
            </w:r>
            <w:r>
              <w:rPr>
                <w:color w:val="ffffff"/>
                <w:sz w:val="21"/>
                <w:szCs w:val="21"/>
                <w:b w:val="0"/>
                <w:bCs w:val="0"/>
                <w:shd w:val="clear" w:fill="152441"/>
              </w:rPr>
              <w:t xml:space="preserve">SUJETOS A CAMBIOS SIN PREVIO AVISO Y DISPONIBILIDAD AL MOMENTO DE LA RESERVA, </w:t>
            </w:r>
            <w:r>
              <w:rPr>
                <w:color w:val="ffffff"/>
                <w:sz w:val="21"/>
                <w:szCs w:val="21"/>
                <w:b w:val="1"/>
                <w:bCs w:val="1"/>
                <w:shd w:val="clear" w:fill="152441"/>
              </w:rPr>
              <w:t xml:space="preserve">PRECIO BASE A PARTIR DE DOS PASAJEROS</w:t>
            </w:r>
          </w:p>
        </w:tc>
      </w:tr>
      <w:tr>
        <w:trPr/>
        <w:tc>
          <w:tcPr>
            <w:tcW w:w="7800" w:type="dxa"/>
            <w:gridSpan w:val="3"/>
            <w:noWrap/>
          </w:tcPr>
          <w:p>
            <w:pPr>
              <w:jc w:val="start"/>
              <w:spacing w:before="0" w:after="0"/>
            </w:pPr>
            <w:r>
              <w:rPr/>
              <w:t xml:space="preserve"> </w:t>
            </w:r>
          </w:p>
        </w:tc>
      </w:tr>
      <w:tr>
        <w:trPr/>
        <w:tc>
          <w:tcPr>
            <w:tcW w:w="7800" w:type="dxa"/>
            <w:gridSpan w:val="3"/>
            <w:noWrap/>
          </w:tcPr>
          <w:p>
            <w:pPr>
              <w:jc w:val="start"/>
              <w:spacing w:before="0" w:after="0"/>
            </w:pPr>
            <w:r>
              <w:rPr>
                <w:b w:val="1"/>
                <w:bCs w:val="1"/>
              </w:rPr>
              <w:t xml:space="preserve">TEMPORADA: </w:t>
            </w:r>
            <w:r>
              <w:rPr/>
              <w:t xml:space="preserve">01 MAY – 30 JUN 2025 / 01 SEP – 31 OCT 2025.</w:t>
            </w:r>
          </w:p>
        </w:tc>
      </w:tr>
      <w:tr>
        <w:trPr/>
        <w:tc>
          <w:tcPr>
            <w:tcW w:w="7800" w:type="dxa"/>
            <w:noWrap/>
          </w:tcPr>
          <w:p>
            <w:pPr>
              <w:jc w:val="start"/>
              <w:spacing w:before="0" w:after="0"/>
            </w:pPr>
            <w:r>
              <w:rPr>
                <w:b w:val="1"/>
                <w:bCs w:val="1"/>
              </w:rPr>
              <w:t xml:space="preserve">CATEGORIA</w:t>
            </w:r>
          </w:p>
        </w:tc>
        <w:tc>
          <w:tcPr>
            <w:tcW w:w="7800" w:type="dxa"/>
            <w:noWrap/>
          </w:tcPr>
          <w:p>
            <w:pPr>
              <w:jc w:val="start"/>
              <w:spacing w:before="0" w:after="0"/>
            </w:pPr>
            <w:r>
              <w:rPr>
                <w:b w:val="1"/>
                <w:bCs w:val="1"/>
              </w:rPr>
              <w:t xml:space="preserve">SENCILLA</w:t>
            </w:r>
          </w:p>
        </w:tc>
        <w:tc>
          <w:tcPr>
            <w:tcW w:w="7800" w:type="dxa"/>
            <w:noWrap/>
          </w:tcPr>
          <w:p>
            <w:pPr>
              <w:jc w:val="start"/>
              <w:spacing w:before="0" w:after="0"/>
            </w:pPr>
            <w:r>
              <w:rPr>
                <w:b w:val="1"/>
                <w:bCs w:val="1"/>
              </w:rPr>
              <w:t xml:space="preserve">DOBLE</w:t>
            </w:r>
          </w:p>
        </w:tc>
      </w:tr>
      <w:tr>
        <w:trPr/>
        <w:tc>
          <w:tcPr>
            <w:tcW w:w="7800" w:type="dxa"/>
            <w:noWrap/>
          </w:tcPr>
          <w:p>
            <w:pPr>
              <w:jc w:val="start"/>
              <w:spacing w:before="0" w:after="0"/>
            </w:pPr>
            <w:r>
              <w:rPr/>
              <w:t xml:space="preserve">Standard</w:t>
            </w:r>
          </w:p>
        </w:tc>
        <w:tc>
          <w:tcPr>
            <w:tcW w:w="7800" w:type="dxa"/>
            <w:noWrap/>
          </w:tcPr>
          <w:p>
            <w:pPr>
              <w:jc w:val="start"/>
              <w:spacing w:before="0" w:after="0"/>
            </w:pPr>
            <w:r>
              <w:rPr/>
              <w:t xml:space="preserve">USD 4.520</w:t>
            </w:r>
          </w:p>
        </w:tc>
        <w:tc>
          <w:tcPr>
            <w:tcW w:w="7800" w:type="dxa"/>
            <w:noWrap/>
          </w:tcPr>
          <w:p>
            <w:pPr>
              <w:jc w:val="start"/>
              <w:spacing w:before="0" w:after="0"/>
            </w:pPr>
            <w:r>
              <w:rPr/>
              <w:t xml:space="preserve">USD 2.540</w:t>
            </w:r>
          </w:p>
        </w:tc>
      </w:tr>
      <w:tr>
        <w:trPr/>
        <w:tc>
          <w:tcPr>
            <w:tcW w:w="7800" w:type="dxa"/>
            <w:noWrap/>
          </w:tcPr>
          <w:p>
            <w:pPr>
              <w:jc w:val="start"/>
              <w:spacing w:before="0" w:after="0"/>
            </w:pPr>
            <w:r>
              <w:rPr/>
              <w:t xml:space="preserve">Superior</w:t>
            </w:r>
          </w:p>
        </w:tc>
        <w:tc>
          <w:tcPr>
            <w:tcW w:w="7800" w:type="dxa"/>
            <w:noWrap/>
          </w:tcPr>
          <w:p>
            <w:pPr>
              <w:jc w:val="start"/>
              <w:spacing w:before="0" w:after="0"/>
            </w:pPr>
            <w:r>
              <w:rPr/>
              <w:t xml:space="preserve">USD 4.820</w:t>
            </w:r>
          </w:p>
        </w:tc>
        <w:tc>
          <w:tcPr>
            <w:tcW w:w="7800" w:type="dxa"/>
            <w:noWrap/>
          </w:tcPr>
          <w:p>
            <w:pPr>
              <w:jc w:val="start"/>
              <w:spacing w:before="0" w:after="0"/>
            </w:pPr>
            <w:r>
              <w:rPr/>
              <w:t xml:space="preserve">USD 2.693</w:t>
            </w:r>
          </w:p>
        </w:tc>
      </w:tr>
      <w:tr>
        <w:trPr/>
        <w:tc>
          <w:tcPr>
            <w:tcW w:w="7800" w:type="dxa"/>
            <w:noWrap/>
          </w:tcPr>
          <w:p>
            <w:pPr>
              <w:jc w:val="start"/>
              <w:spacing w:before="0" w:after="0"/>
            </w:pPr>
            <w:r>
              <w:rPr/>
              <w:t xml:space="preserve">Deluxe</w:t>
            </w:r>
          </w:p>
        </w:tc>
        <w:tc>
          <w:tcPr>
            <w:tcW w:w="7800" w:type="dxa"/>
            <w:noWrap/>
          </w:tcPr>
          <w:p>
            <w:pPr>
              <w:jc w:val="start"/>
              <w:spacing w:before="0" w:after="0"/>
            </w:pPr>
            <w:r>
              <w:rPr/>
              <w:t xml:space="preserve">USD 7.067</w:t>
            </w:r>
          </w:p>
        </w:tc>
        <w:tc>
          <w:tcPr>
            <w:tcW w:w="7800" w:type="dxa"/>
            <w:noWrap/>
          </w:tcPr>
          <w:p>
            <w:pPr>
              <w:jc w:val="start"/>
              <w:spacing w:before="0" w:after="0"/>
            </w:pPr>
            <w:r>
              <w:rPr/>
              <w:t xml:space="preserve">USD 3.813</w:t>
            </w:r>
          </w:p>
        </w:tc>
      </w:tr>
      <w:tr>
        <w:trPr/>
        <w:tc>
          <w:tcPr>
            <w:tcW w:w="7800" w:type="dxa"/>
            <w:noWrap/>
          </w:tcPr>
          <w:p>
            <w:pPr>
              <w:jc w:val="start"/>
              <w:spacing w:before="0" w:after="0"/>
            </w:pPr>
            <w:r>
              <w:rPr/>
              <w:t xml:space="preserve">Gold Deluxe</w:t>
            </w:r>
          </w:p>
        </w:tc>
        <w:tc>
          <w:tcPr>
            <w:tcW w:w="7800" w:type="dxa"/>
            <w:noWrap/>
          </w:tcPr>
          <w:p>
            <w:pPr>
              <w:jc w:val="start"/>
              <w:spacing w:before="0" w:after="0"/>
            </w:pPr>
            <w:r>
              <w:rPr/>
              <w:t xml:space="preserve">USD 12.727</w:t>
            </w:r>
          </w:p>
        </w:tc>
        <w:tc>
          <w:tcPr>
            <w:tcW w:w="7800" w:type="dxa"/>
            <w:noWrap/>
          </w:tcPr>
          <w:p>
            <w:pPr>
              <w:jc w:val="start"/>
              <w:spacing w:before="0" w:after="0"/>
            </w:pPr>
            <w:r>
              <w:rPr/>
              <w:t xml:space="preserve">USD 8.593</w:t>
            </w:r>
          </w:p>
        </w:tc>
      </w:tr>
      <w:tr>
        <w:trPr/>
        <w:tc>
          <w:tcPr>
            <w:tcW w:w="7800" w:type="dxa"/>
            <w:gridSpan w:val="3"/>
            <w:noWrap/>
          </w:tcPr>
          <w:p>
            <w:pPr>
              <w:jc w:val="start"/>
              <w:spacing w:before="0" w:after="0"/>
            </w:pPr>
            <w:r>
              <w:rPr>
                <w:b w:val="1"/>
                <w:bCs w:val="1"/>
              </w:rPr>
              <w:t xml:space="preserve">TEMPORADA: </w:t>
            </w:r>
            <w:r>
              <w:rPr/>
              <w:t xml:space="preserve">01 – 30 ABRIL 2025 / 01 JUL – 31 AGO 2025.</w:t>
            </w:r>
          </w:p>
        </w:tc>
      </w:tr>
      <w:tr>
        <w:trPr/>
        <w:tc>
          <w:tcPr>
            <w:tcW w:w="7800" w:type="dxa"/>
            <w:noWrap/>
          </w:tcPr>
          <w:p>
            <w:pPr>
              <w:jc w:val="start"/>
              <w:spacing w:before="0" w:after="0"/>
            </w:pPr>
            <w:r>
              <w:rPr>
                <w:b w:val="1"/>
                <w:bCs w:val="1"/>
              </w:rPr>
              <w:t xml:space="preserve">CATEGORIA</w:t>
            </w:r>
          </w:p>
        </w:tc>
        <w:tc>
          <w:tcPr>
            <w:tcW w:w="7800" w:type="dxa"/>
            <w:noWrap/>
          </w:tcPr>
          <w:p>
            <w:pPr>
              <w:jc w:val="start"/>
              <w:spacing w:before="0" w:after="0"/>
            </w:pPr>
            <w:r>
              <w:rPr>
                <w:b w:val="1"/>
                <w:bCs w:val="1"/>
              </w:rPr>
              <w:t xml:space="preserve">SENCILLA</w:t>
            </w:r>
          </w:p>
        </w:tc>
        <w:tc>
          <w:tcPr>
            <w:tcW w:w="7800" w:type="dxa"/>
            <w:noWrap/>
          </w:tcPr>
          <w:p>
            <w:pPr>
              <w:jc w:val="start"/>
              <w:spacing w:before="0" w:after="0"/>
            </w:pPr>
            <w:r>
              <w:rPr>
                <w:b w:val="1"/>
                <w:bCs w:val="1"/>
              </w:rPr>
              <w:t xml:space="preserve">DOBLE</w:t>
            </w:r>
          </w:p>
        </w:tc>
      </w:tr>
      <w:tr>
        <w:trPr/>
        <w:tc>
          <w:tcPr>
            <w:tcW w:w="7800" w:type="dxa"/>
            <w:noWrap/>
          </w:tcPr>
          <w:p>
            <w:pPr>
              <w:jc w:val="start"/>
              <w:spacing w:before="0" w:after="0"/>
            </w:pPr>
            <w:r>
              <w:rPr/>
              <w:t xml:space="preserve">Standard</w:t>
            </w:r>
          </w:p>
        </w:tc>
        <w:tc>
          <w:tcPr>
            <w:tcW w:w="7800" w:type="dxa"/>
            <w:noWrap/>
          </w:tcPr>
          <w:p>
            <w:pPr>
              <w:jc w:val="start"/>
              <w:spacing w:before="0" w:after="0"/>
            </w:pPr>
            <w:r>
              <w:rPr/>
              <w:t xml:space="preserve">USD 4.880</w:t>
            </w:r>
          </w:p>
        </w:tc>
        <w:tc>
          <w:tcPr>
            <w:tcW w:w="7800" w:type="dxa"/>
            <w:noWrap/>
          </w:tcPr>
          <w:p>
            <w:pPr>
              <w:jc w:val="start"/>
              <w:spacing w:before="0" w:after="0"/>
            </w:pPr>
            <w:r>
              <w:rPr/>
              <w:t xml:space="preserve">USD 2.720</w:t>
            </w:r>
          </w:p>
        </w:tc>
      </w:tr>
      <w:tr>
        <w:trPr/>
        <w:tc>
          <w:tcPr>
            <w:tcW w:w="7800" w:type="dxa"/>
            <w:noWrap/>
          </w:tcPr>
          <w:p>
            <w:pPr>
              <w:jc w:val="start"/>
              <w:spacing w:before="0" w:after="0"/>
            </w:pPr>
            <w:r>
              <w:rPr/>
              <w:t xml:space="preserve">Superior</w:t>
            </w:r>
          </w:p>
        </w:tc>
        <w:tc>
          <w:tcPr>
            <w:tcW w:w="7800" w:type="dxa"/>
            <w:noWrap/>
          </w:tcPr>
          <w:p>
            <w:pPr>
              <w:jc w:val="start"/>
              <w:spacing w:before="0" w:after="0"/>
            </w:pPr>
            <w:r>
              <w:rPr/>
              <w:t xml:space="preserve">USD 5.153</w:t>
            </w:r>
          </w:p>
        </w:tc>
        <w:tc>
          <w:tcPr>
            <w:tcW w:w="7800" w:type="dxa"/>
            <w:noWrap/>
          </w:tcPr>
          <w:p>
            <w:pPr>
              <w:jc w:val="start"/>
              <w:spacing w:before="0" w:after="0"/>
            </w:pPr>
            <w:r>
              <w:rPr/>
              <w:t xml:space="preserve">USD 2.860</w:t>
            </w:r>
          </w:p>
        </w:tc>
      </w:tr>
      <w:tr>
        <w:trPr/>
        <w:tc>
          <w:tcPr>
            <w:tcW w:w="7800" w:type="dxa"/>
            <w:noWrap/>
          </w:tcPr>
          <w:p>
            <w:pPr>
              <w:jc w:val="start"/>
              <w:spacing w:before="0" w:after="0"/>
            </w:pPr>
            <w:r>
              <w:rPr/>
              <w:t xml:space="preserve">Deluxe</w:t>
            </w:r>
          </w:p>
        </w:tc>
        <w:tc>
          <w:tcPr>
            <w:tcW w:w="7800" w:type="dxa"/>
            <w:noWrap/>
          </w:tcPr>
          <w:p>
            <w:pPr>
              <w:jc w:val="start"/>
              <w:spacing w:before="0" w:after="0"/>
            </w:pPr>
            <w:r>
              <w:rPr/>
              <w:t xml:space="preserve">USD 7.720</w:t>
            </w:r>
          </w:p>
        </w:tc>
        <w:tc>
          <w:tcPr>
            <w:tcW w:w="7800" w:type="dxa"/>
            <w:noWrap/>
          </w:tcPr>
          <w:p>
            <w:pPr>
              <w:jc w:val="start"/>
              <w:spacing w:before="0" w:after="0"/>
            </w:pPr>
            <w:r>
              <w:rPr/>
              <w:t xml:space="preserve">USD 4.140</w:t>
            </w:r>
          </w:p>
        </w:tc>
      </w:tr>
      <w:tr>
        <w:trPr/>
        <w:tc>
          <w:tcPr>
            <w:tcW w:w="7800" w:type="dxa"/>
            <w:noWrap/>
          </w:tcPr>
          <w:p>
            <w:pPr>
              <w:jc w:val="start"/>
              <w:spacing w:before="0" w:after="0"/>
            </w:pPr>
            <w:r>
              <w:rPr/>
              <w:t xml:space="preserve">Gold Deluxe</w:t>
            </w:r>
          </w:p>
        </w:tc>
        <w:tc>
          <w:tcPr>
            <w:tcW w:w="7800" w:type="dxa"/>
            <w:noWrap/>
          </w:tcPr>
          <w:p>
            <w:pPr>
              <w:jc w:val="start"/>
              <w:spacing w:before="0" w:after="0"/>
            </w:pPr>
            <w:r>
              <w:rPr/>
              <w:t xml:space="preserve">USD 13.433</w:t>
            </w:r>
          </w:p>
        </w:tc>
        <w:tc>
          <w:tcPr>
            <w:tcW w:w="7800" w:type="dxa"/>
            <w:noWrap/>
          </w:tcPr>
          <w:p>
            <w:pPr>
              <w:jc w:val="start"/>
              <w:spacing w:before="0" w:after="0"/>
            </w:pPr>
            <w:r>
              <w:rPr/>
              <w:t xml:space="preserve">USD 9.200</w:t>
            </w:r>
          </w:p>
        </w:tc>
      </w:tr>
      <w:tr>
        <w:trPr/>
        <w:tc>
          <w:tcPr>
            <w:tcW w:w="7800" w:type="dxa"/>
            <w:gridSpan w:val="3"/>
            <w:noWrap/>
          </w:tcPr>
          <w:p>
            <w:pPr>
              <w:jc w:val="start"/>
              <w:spacing w:before="0" w:after="0"/>
            </w:pPr>
            <w:r>
              <w:rPr>
                <w:b w:val="1"/>
                <w:bCs w:val="1"/>
              </w:rPr>
              <w:t xml:space="preserve">TARIFA:</w:t>
            </w:r>
            <w:r>
              <w:rPr/>
              <w:t xml:space="preserve"> Esta tarifa aplica para pago en pesos colombianos a la TRM del día del pago, según la liquidación enviada.</w:t>
            </w:r>
          </w:p>
        </w:tc>
      </w:tr>
      <w:tr>
        <w:trPr/>
        <w:tc>
          <w:tcPr>
            <w:tcW w:w="7800" w:type="dxa"/>
            <w:gridSpan w:val="3"/>
            <w:noWrap/>
          </w:tcPr>
          <w:p>
            <w:pPr>
              <w:jc w:val="start"/>
              <w:spacing w:before="0" w:after="0"/>
            </w:pPr>
            <w:r>
              <w:rPr>
                <w:b w:val="1"/>
                <w:bCs w:val="1"/>
              </w:rPr>
              <w:t xml:space="preserve">POLITICAS PARA LOS NIÑOS (Servicios terrestres):</w:t>
            </w:r>
          </w:p>
          <w:p>
            <w:pPr>
              <w:numPr>
                <w:ilvl w:val="0"/>
                <w:numId w:val="1"/>
              </w:numPr>
            </w:pPr>
            <w:r>
              <w:rPr/>
              <w:t xml:space="preserve">Niños de 1-2 años: Gratuidad en el caso de compartir habitación con sus padres.</w:t>
            </w:r>
          </w:p>
          <w:p>
            <w:pPr>
              <w:numPr>
                <w:ilvl w:val="0"/>
                <w:numId w:val="1"/>
              </w:numPr>
            </w:pPr>
            <w:r>
              <w:rPr/>
              <w:t xml:space="preserve">Niños de 2-12 años: 75% de cargo del coste de un adulto si usa una cama extra en la habitación de sus padres.</w:t>
            </w:r>
          </w:p>
          <w:p>
            <w:pPr>
              <w:numPr>
                <w:ilvl w:val="0"/>
                <w:numId w:val="1"/>
              </w:numPr>
            </w:pPr>
            <w:r>
              <w:rPr/>
              <w:t xml:space="preserve">Niños de más de 12 años: Precio de adulto.</w:t>
            </w:r>
          </w:p>
        </w:tc>
      </w:tr>
    </w:tbl>
    <w:p>
      <w:pPr>
        <w:spacing w:before="0" w:after="0"/>
      </w:pPr>
      <w:r>
        <w:rPr/>
        <w:t xml:space="preserve"> </w:t>
      </w:r>
    </w:p>
    <w:tbl>
      <w:tblGrid>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noWrap/>
          </w:tcPr>
          <w:p>
            <w:pPr>
              <w:jc w:val="start"/>
              <w:spacing w:before="0" w:after="0"/>
            </w:pPr>
            <w:r>
              <w:rPr/>
              <w:t xml:space="preserve">Los precios indicados en este sitio web, son de carácter informativo y deben ser confirmados para realizar su reservación ya que están sujetos a modificaciones sin previo aviso.</w:t>
            </w:r>
          </w:p>
        </w:tc>
      </w:tr>
      <w:tr>
        <w:trPr/>
        <w:tc>
          <w:tcPr>
            <w:tcW w:w="7800" w:type="dxa"/>
            <w:noWrap/>
          </w:tcPr>
          <w:p>
            <w:pPr>
              <w:jc w:val="start"/>
              <w:spacing w:before="0" w:after="0"/>
            </w:pPr>
            <w:r>
              <w:rPr>
                <w:b w:val="1"/>
                <w:bCs w:val="1"/>
              </w:rPr>
              <w:t xml:space="preserve">VISITAS Y EXCURSIONES</w:t>
            </w:r>
          </w:p>
          <w:p>
            <w:pPr>
              <w:numPr>
                <w:ilvl w:val="0"/>
                <w:numId w:val="2"/>
              </w:numPr>
            </w:pPr>
            <w:r>
              <w:rPr/>
              <w:t xml:space="preserve">Las visitas o tours sugeridos cuyo valor está descrito en el programa serán ofrecidos por nuestro operador en destino, comprados desde aquí o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p>
          <w:p>
            <w:pPr>
              <w:numPr>
                <w:ilvl w:val="0"/>
                <w:numId w:val="2"/>
              </w:numPr>
            </w:pPr>
            <w:r>
              <w:rPr/>
              <w:t xml:space="preserve">No nos haremos responsables por los servicios contratados en otras empresas.</w:t>
            </w:r>
          </w:p>
        </w:tc>
      </w:tr>
    </w:tbl>
    <w:p>
      <w:pPr>
        <w:spacing w:before="0" w:after="0"/>
      </w:pPr>
      <w:r>
        <w:rPr/>
        <w:t xml:space="preserve"> </w:t>
      </w:r>
    </w:p>
    <w:tbl>
      <w:tblGrid>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gridSpan w:val="2"/>
            <w:noWrap/>
          </w:tcPr>
          <w:p>
            <w:pPr>
              <w:jc w:val="start"/>
              <w:spacing w:before="0" w:after="0"/>
            </w:pPr>
            <w:r>
              <w:rPr>
                <w:b w:val="1"/>
                <w:bCs w:val="1"/>
              </w:rPr>
              <w:t xml:space="preserve">TARIFAS NETAS</w:t>
            </w:r>
          </w:p>
        </w:tc>
      </w:tr>
      <w:tr>
        <w:trPr/>
        <w:tc>
          <w:tcPr>
            <w:tcW w:w="7800" w:type="dxa"/>
            <w:noWrap/>
          </w:tcPr>
          <w:p>
            <w:pPr>
              <w:jc w:val="start"/>
              <w:spacing w:before="0" w:after="0"/>
            </w:pPr>
            <w:r>
              <w:rPr/>
              <w:t xml:space="preserve">Economy Class Yakarta – Yogyakarta</w:t>
            </w:r>
          </w:p>
        </w:tc>
        <w:tc>
          <w:tcPr>
            <w:tcW w:w="7800" w:type="dxa"/>
            <w:noWrap/>
          </w:tcPr>
          <w:p>
            <w:pPr>
              <w:jc w:val="start"/>
              <w:spacing w:before="0" w:after="0"/>
            </w:pPr>
            <w:r>
              <w:rPr/>
              <w:t xml:space="preserve">USD 115/persona/vuelo tasas incluidas</w:t>
            </w:r>
          </w:p>
        </w:tc>
      </w:tr>
      <w:tr>
        <w:trPr/>
        <w:tc>
          <w:tcPr>
            <w:tcW w:w="7800" w:type="dxa"/>
            <w:noWrap/>
          </w:tcPr>
          <w:p>
            <w:pPr>
              <w:jc w:val="start"/>
              <w:spacing w:before="0" w:after="0"/>
            </w:pPr>
            <w:r>
              <w:rPr/>
              <w:t xml:space="preserve">Economy Class Yogyakarta – Bali</w:t>
            </w:r>
          </w:p>
        </w:tc>
        <w:tc>
          <w:tcPr>
            <w:tcW w:w="7800" w:type="dxa"/>
            <w:noWrap/>
          </w:tcPr>
          <w:p>
            <w:pPr>
              <w:jc w:val="start"/>
              <w:spacing w:before="0" w:after="0"/>
            </w:pPr>
            <w:r>
              <w:rPr/>
              <w:t xml:space="preserve">USD 115/persona/vuelo tasas incluidas</w:t>
            </w:r>
          </w:p>
        </w:tc>
      </w:tr>
    </w:tbl>
    <w:p>
      <w:pPr>
        <w:spacing w:before="0" w:after="0"/>
      </w:pPr>
      <w:r>
        <w:rPr/>
        <w:t xml:space="preserve">*Los precios de los billetes de avión están sujetos a cambios sin previo aviso</w:t>
      </w:r>
    </w:p>
    <w:p>
      <w:pPr>
        <w:spacing w:before="0" w:after="0"/>
      </w:pPr>
      <w:r>
        <w:rPr/>
        <w:t xml:space="preserve"> </w:t>
      </w:r>
    </w:p>
    <w:p>
      <w:pPr>
        <w:spacing w:before="0" w:after="0"/>
      </w:pPr>
      <w:r>
        <w:rPr/>
        <w:t xml:space="preserve"> </w:t>
      </w:r>
    </w:p>
    <w:p>
      <w:pPr>
        <w:spacing w:before="0" w:after="0"/>
      </w:pPr>
      <w:r>
        <w:rPr/>
        <w:t xml:space="preserve"> </w:t>
      </w:r>
    </w:p>
    <w:p>
      <w:pPr>
        <w:spacing w:before="0" w:after="0"/>
      </w:pPr>
      <w:r>
        <w:rPr/>
        <w:t xml:space="preserve"> </w:t>
      </w:r>
    </w:p>
    <w:p>
      <w:pPr>
        <w:spacing w:before="0" w:after="0"/>
      </w:pPr>
      <w:r>
        <w:rPr/>
        <w:t xml:space="preserve">-</w:t>
      </w:r>
    </w:p>
    <w:p>
      <w:pPr>
        <w:spacing w:before="0" w:after="0"/>
      </w:pPr>
      <w:r>
        <w:rPr/>
        <w:t xml:space="preserve">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CIUDAD</w:t>
            </w:r>
          </w:p>
        </w:tc>
        <w:tc>
          <w:tcPr>
            <w:tcW w:w="7800" w:type="dxa"/>
            <w:shd w:val="clear" w:fill="152441"/>
            <w:noWrap/>
          </w:tcPr>
          <w:p>
            <w:pPr>
              <w:jc w:val="start"/>
              <w:spacing w:before="0" w:after="0"/>
            </w:pPr>
            <w:r>
              <w:rPr>
                <w:color w:val="ffffff"/>
                <w:sz w:val="21"/>
                <w:szCs w:val="21"/>
                <w:b w:val="1"/>
                <w:bCs w:val="1"/>
                <w:shd w:val="clear" w:fill="152441"/>
              </w:rPr>
              <w:t xml:space="preserve">STANDARD</w:t>
            </w:r>
          </w:p>
        </w:tc>
        <w:tc>
          <w:tcPr>
            <w:tcW w:w="7800" w:type="dxa"/>
            <w:shd w:val="clear" w:fill="152441"/>
            <w:noWrap/>
          </w:tcPr>
          <w:p>
            <w:pPr>
              <w:jc w:val="start"/>
              <w:spacing w:before="0" w:after="0"/>
            </w:pPr>
            <w:r>
              <w:rPr>
                <w:color w:val="ffffff"/>
                <w:sz w:val="21"/>
                <w:szCs w:val="21"/>
                <w:b w:val="1"/>
                <w:bCs w:val="1"/>
                <w:shd w:val="clear" w:fill="152441"/>
              </w:rPr>
              <w:t xml:space="preserve">SUPERIOR</w:t>
            </w:r>
          </w:p>
        </w:tc>
        <w:tc>
          <w:tcPr>
            <w:tcW w:w="7800" w:type="dxa"/>
            <w:shd w:val="clear" w:fill="152441"/>
            <w:noWrap/>
          </w:tcPr>
          <w:p>
            <w:pPr>
              <w:jc w:val="start"/>
              <w:spacing w:before="0" w:after="0"/>
            </w:pPr>
            <w:r>
              <w:rPr>
                <w:color w:val="ffffff"/>
                <w:sz w:val="21"/>
                <w:szCs w:val="21"/>
                <w:b w:val="1"/>
                <w:bCs w:val="1"/>
                <w:shd w:val="clear" w:fill="152441"/>
              </w:rPr>
              <w:t xml:space="preserve">DELUXE</w:t>
            </w:r>
          </w:p>
        </w:tc>
        <w:tc>
          <w:tcPr>
            <w:tcW w:w="7800" w:type="dxa"/>
            <w:shd w:val="clear" w:fill="152441"/>
            <w:noWrap/>
          </w:tcPr>
          <w:p>
            <w:pPr>
              <w:jc w:val="start"/>
              <w:spacing w:before="0" w:after="0"/>
            </w:pPr>
            <w:r>
              <w:rPr>
                <w:color w:val="ffffff"/>
                <w:sz w:val="21"/>
                <w:szCs w:val="21"/>
                <w:b w:val="1"/>
                <w:bCs w:val="1"/>
                <w:shd w:val="clear" w:fill="152441"/>
              </w:rPr>
              <w:t xml:space="preserve">GOLD DELUXE</w:t>
            </w:r>
          </w:p>
        </w:tc>
      </w:tr>
      <w:tr>
        <w:trPr/>
        <w:tc>
          <w:tcPr>
            <w:tcW w:w="7800" w:type="dxa"/>
            <w:noWrap/>
          </w:tcPr>
          <w:p>
            <w:pPr>
              <w:jc w:val="start"/>
              <w:spacing w:before="0" w:after="0"/>
            </w:pPr>
            <w:r>
              <w:rPr/>
              <w:t xml:space="preserve">Jakarta</w:t>
            </w:r>
          </w:p>
        </w:tc>
        <w:tc>
          <w:tcPr>
            <w:tcW w:w="7800" w:type="dxa"/>
            <w:noWrap/>
          </w:tcPr>
          <w:p>
            <w:pPr>
              <w:jc w:val="start"/>
              <w:spacing w:before="0" w:after="0"/>
            </w:pPr>
            <w:r>
              <w:rPr>
                <w:b w:val="1"/>
                <w:bCs w:val="1"/>
              </w:rPr>
              <w:t xml:space="preserve">SANTIKA PREMIER HAYAM WURUK</w:t>
            </w:r>
            <w:r>
              <w:rPr/>
              <w:t xml:space="preserve"> O similar Hab. Deluxe Room</w:t>
            </w:r>
          </w:p>
        </w:tc>
        <w:tc>
          <w:tcPr>
            <w:tcW w:w="7800" w:type="dxa"/>
            <w:noWrap/>
          </w:tcPr>
          <w:p>
            <w:pPr>
              <w:jc w:val="start"/>
              <w:spacing w:before="0" w:after="0"/>
            </w:pPr>
            <w:r>
              <w:rPr>
                <w:b w:val="1"/>
                <w:bCs w:val="1"/>
              </w:rPr>
              <w:t xml:space="preserve">MERCURE JAKARTA BATAVIA</w:t>
            </w:r>
            <w:r>
              <w:rPr/>
              <w:t xml:space="preserve"> O similar Hab. Superior Room</w:t>
            </w:r>
          </w:p>
        </w:tc>
        <w:tc>
          <w:tcPr>
            <w:tcW w:w="7800" w:type="dxa"/>
            <w:noWrap/>
          </w:tcPr>
          <w:p>
            <w:pPr>
              <w:jc w:val="start"/>
              <w:spacing w:before="0" w:after="0"/>
            </w:pPr>
            <w:r>
              <w:rPr>
                <w:b w:val="1"/>
                <w:bCs w:val="1"/>
              </w:rPr>
              <w:t xml:space="preserve">THE HERMITAGE</w:t>
            </w:r>
            <w:r>
              <w:rPr/>
              <w:t xml:space="preserve"> O similar Hab. Deluxe</w:t>
            </w:r>
          </w:p>
        </w:tc>
        <w:tc>
          <w:tcPr>
            <w:tcW w:w="7800" w:type="dxa"/>
            <w:noWrap/>
          </w:tcPr>
          <w:p>
            <w:pPr>
              <w:jc w:val="start"/>
              <w:spacing w:before="0" w:after="0"/>
            </w:pPr>
            <w:r>
              <w:rPr>
                <w:b w:val="1"/>
                <w:bCs w:val="1"/>
              </w:rPr>
              <w:t xml:space="preserve">FOUR SEASON JAKARTA</w:t>
            </w:r>
            <w:r>
              <w:rPr/>
              <w:t xml:space="preserve"> O similar Hab. Deluxe</w:t>
            </w:r>
          </w:p>
        </w:tc>
      </w:tr>
      <w:tr>
        <w:trPr/>
        <w:tc>
          <w:tcPr>
            <w:tcW w:w="7800" w:type="dxa"/>
            <w:noWrap/>
          </w:tcPr>
          <w:p>
            <w:pPr>
              <w:jc w:val="start"/>
              <w:spacing w:before="0" w:after="0"/>
            </w:pPr>
            <w:r>
              <w:rPr/>
              <w:t xml:space="preserve">Yogyakarta</w:t>
            </w:r>
          </w:p>
        </w:tc>
        <w:tc>
          <w:tcPr>
            <w:tcW w:w="7800" w:type="dxa"/>
            <w:noWrap/>
          </w:tcPr>
          <w:p>
            <w:pPr>
              <w:jc w:val="start"/>
              <w:spacing w:before="0" w:after="0"/>
            </w:pPr>
            <w:r>
              <w:rPr>
                <w:b w:val="1"/>
                <w:bCs w:val="1"/>
              </w:rPr>
              <w:t xml:space="preserve">SANTIKA PREMIERE JOGJA</w:t>
            </w:r>
            <w:r>
              <w:rPr/>
              <w:t xml:space="preserve"> O similar Hab. Deluxe Room</w:t>
            </w:r>
          </w:p>
        </w:tc>
        <w:tc>
          <w:tcPr>
            <w:tcW w:w="7800" w:type="dxa"/>
            <w:noWrap/>
          </w:tcPr>
          <w:p>
            <w:pPr>
              <w:jc w:val="start"/>
              <w:spacing w:before="0" w:after="0"/>
            </w:pPr>
            <w:r>
              <w:rPr>
                <w:b w:val="1"/>
                <w:bCs w:val="1"/>
              </w:rPr>
              <w:t xml:space="preserve">SANTIKA PREMIERE JOGJA</w:t>
            </w:r>
            <w:r>
              <w:rPr/>
              <w:t xml:space="preserve"> O similar Hab. Deluxe</w:t>
            </w:r>
          </w:p>
        </w:tc>
        <w:tc>
          <w:tcPr>
            <w:tcW w:w="7800" w:type="dxa"/>
            <w:noWrap/>
          </w:tcPr>
          <w:p>
            <w:pPr>
              <w:jc w:val="start"/>
              <w:spacing w:before="0" w:after="0"/>
            </w:pPr>
            <w:r>
              <w:rPr>
                <w:b w:val="1"/>
                <w:bCs w:val="1"/>
              </w:rPr>
              <w:t xml:space="preserve">MELIA PUROSANI</w:t>
            </w:r>
            <w:r>
              <w:rPr/>
              <w:t xml:space="preserve"> O similar Hab. Deluxe</w:t>
            </w:r>
          </w:p>
        </w:tc>
        <w:tc>
          <w:tcPr>
            <w:tcW w:w="7800" w:type="dxa"/>
            <w:noWrap/>
          </w:tcPr>
          <w:p>
            <w:pPr>
              <w:jc w:val="start"/>
              <w:spacing w:before="0" w:after="0"/>
            </w:pPr>
            <w:r>
              <w:rPr>
                <w:b w:val="1"/>
                <w:bCs w:val="1"/>
              </w:rPr>
              <w:t xml:space="preserve">GARRYA BIANTI YOGYAKARTA</w:t>
            </w:r>
            <w:r>
              <w:rPr/>
              <w:t xml:space="preserve"> O similar Hab. Sunset View Villa</w:t>
            </w:r>
          </w:p>
        </w:tc>
      </w:tr>
      <w:tr>
        <w:trPr/>
        <w:tc>
          <w:tcPr>
            <w:tcW w:w="7800" w:type="dxa"/>
            <w:noWrap/>
          </w:tcPr>
          <w:p>
            <w:pPr>
              <w:jc w:val="start"/>
              <w:spacing w:before="0" w:after="0"/>
            </w:pPr>
            <w:r>
              <w:rPr/>
              <w:t xml:space="preserve">Nusa Dua O Semiyak</w:t>
            </w:r>
          </w:p>
        </w:tc>
        <w:tc>
          <w:tcPr>
            <w:tcW w:w="7800" w:type="dxa"/>
            <w:noWrap/>
          </w:tcPr>
          <w:p>
            <w:pPr>
              <w:jc w:val="start"/>
              <w:spacing w:before="0" w:after="0"/>
            </w:pPr>
            <w:r>
              <w:rPr>
                <w:b w:val="1"/>
                <w:bCs w:val="1"/>
              </w:rPr>
              <w:t xml:space="preserve">NUDA DUA BEACH HOTEL</w:t>
            </w:r>
            <w:r>
              <w:rPr/>
              <w:t xml:space="preserve"> O similar Hab. Deluxe Room</w:t>
            </w:r>
          </w:p>
        </w:tc>
        <w:tc>
          <w:tcPr>
            <w:tcW w:w="7800" w:type="dxa"/>
            <w:noWrap/>
          </w:tcPr>
          <w:p>
            <w:pPr>
              <w:jc w:val="start"/>
              <w:spacing w:before="0" w:after="0"/>
            </w:pPr>
            <w:r>
              <w:rPr>
                <w:b w:val="1"/>
                <w:bCs w:val="1"/>
              </w:rPr>
              <w:t xml:space="preserve">WESTIN NUSA DUA</w:t>
            </w:r>
            <w:r>
              <w:rPr/>
              <w:t xml:space="preserve"> O similar Hab. Deluxe Garden</w:t>
            </w:r>
          </w:p>
        </w:tc>
        <w:tc>
          <w:tcPr>
            <w:tcW w:w="7800" w:type="dxa"/>
            <w:noWrap/>
          </w:tcPr>
          <w:p>
            <w:pPr>
              <w:jc w:val="start"/>
              <w:spacing w:before="0" w:after="0"/>
            </w:pPr>
            <w:r>
              <w:rPr>
                <w:b w:val="1"/>
                <w:bCs w:val="1"/>
              </w:rPr>
              <w:t xml:space="preserve">SPACE AT BALI</w:t>
            </w:r>
            <w:r>
              <w:rPr/>
              <w:t xml:space="preserve"> O similar Hab. One Bedroom Pool Villa</w:t>
            </w:r>
          </w:p>
        </w:tc>
        <w:tc>
          <w:tcPr>
            <w:tcW w:w="7800" w:type="dxa"/>
            <w:noWrap/>
          </w:tcPr>
          <w:p>
            <w:pPr>
              <w:jc w:val="start"/>
              <w:spacing w:before="0" w:after="0"/>
            </w:pPr>
            <w:r>
              <w:rPr>
                <w:b w:val="1"/>
                <w:bCs w:val="1"/>
              </w:rPr>
              <w:t xml:space="preserve">SAMABE BALI SUITES</w:t>
            </w:r>
            <w:r>
              <w:rPr/>
              <w:t xml:space="preserve"> O similar Hab. Ocean Front Suite</w:t>
            </w:r>
          </w:p>
        </w:tc>
      </w:tr>
      <w:tr>
        <w:trPr/>
        <w:tc>
          <w:tcPr>
            <w:tcW w:w="7800" w:type="dxa"/>
            <w:noWrap/>
          </w:tcPr>
          <w:p>
            <w:pPr>
              <w:jc w:val="start"/>
              <w:spacing w:before="0" w:after="0"/>
            </w:pPr>
            <w:r>
              <w:rPr/>
              <w:t xml:space="preserve">Lovina</w:t>
            </w:r>
          </w:p>
        </w:tc>
        <w:tc>
          <w:tcPr>
            <w:tcW w:w="7800" w:type="dxa"/>
            <w:noWrap/>
          </w:tcPr>
          <w:p>
            <w:pPr>
              <w:jc w:val="start"/>
              <w:spacing w:before="0" w:after="0"/>
            </w:pPr>
            <w:r>
              <w:rPr>
                <w:b w:val="1"/>
                <w:bCs w:val="1"/>
              </w:rPr>
              <w:t xml:space="preserve">ANEKA LOVINA</w:t>
            </w:r>
            <w:r>
              <w:rPr/>
              <w:t xml:space="preserve"> O similar Hab.Superior Room</w:t>
            </w:r>
          </w:p>
        </w:tc>
        <w:tc>
          <w:tcPr>
            <w:tcW w:w="7800" w:type="dxa"/>
            <w:noWrap/>
          </w:tcPr>
          <w:p>
            <w:pPr>
              <w:jc w:val="start"/>
              <w:spacing w:before="0" w:after="0"/>
            </w:pPr>
            <w:r>
              <w:rPr>
                <w:b w:val="1"/>
                <w:bCs w:val="1"/>
              </w:rPr>
              <w:t xml:space="preserve">PURI BAGUS LOVINA</w:t>
            </w:r>
            <w:r>
              <w:rPr/>
              <w:t xml:space="preserve"> O similar Hab.Superior Garden Villa</w:t>
            </w:r>
          </w:p>
        </w:tc>
        <w:tc>
          <w:tcPr>
            <w:tcW w:w="7800" w:type="dxa"/>
            <w:noWrap/>
          </w:tcPr>
          <w:p>
            <w:pPr>
              <w:jc w:val="start"/>
              <w:spacing w:before="0" w:after="0"/>
            </w:pPr>
            <w:r>
              <w:rPr>
                <w:b w:val="1"/>
                <w:bCs w:val="1"/>
              </w:rPr>
              <w:t xml:space="preserve">PURI BAGUS LOVIN</w:t>
            </w:r>
            <w:r>
              <w:rPr/>
              <w:t xml:space="preserve">A O similar Hab. Deluxe Ocean View</w:t>
            </w:r>
          </w:p>
        </w:tc>
        <w:tc>
          <w:tcPr>
            <w:tcW w:w="7800" w:type="dxa"/>
            <w:noWrap/>
          </w:tcPr>
          <w:p>
            <w:pPr>
              <w:jc w:val="start"/>
              <w:spacing w:before="0" w:after="0"/>
            </w:pPr>
            <w:r>
              <w:rPr>
                <w:b w:val="1"/>
                <w:bCs w:val="1"/>
              </w:rPr>
              <w:t xml:space="preserve">THE LOVINA</w:t>
            </w:r>
            <w:r>
              <w:rPr/>
              <w:t xml:space="preserve"> O similar Hab.Beach Suite</w:t>
            </w:r>
          </w:p>
        </w:tc>
      </w:tr>
      <w:tr>
        <w:trPr/>
        <w:tc>
          <w:tcPr>
            <w:tcW w:w="7800" w:type="dxa"/>
            <w:noWrap/>
          </w:tcPr>
          <w:p>
            <w:pPr>
              <w:jc w:val="start"/>
              <w:spacing w:before="0" w:after="0"/>
            </w:pPr>
            <w:r>
              <w:rPr/>
              <w:t xml:space="preserve">Candidasa</w:t>
            </w:r>
          </w:p>
        </w:tc>
        <w:tc>
          <w:tcPr>
            <w:tcW w:w="7800" w:type="dxa"/>
            <w:noWrap/>
          </w:tcPr>
          <w:p>
            <w:pPr>
              <w:jc w:val="start"/>
              <w:spacing w:before="0" w:after="0"/>
            </w:pPr>
            <w:r>
              <w:rPr>
                <w:b w:val="1"/>
                <w:bCs w:val="1"/>
              </w:rPr>
              <w:t xml:space="preserve">RAMAYANA CANDIDASA</w:t>
            </w:r>
            <w:r>
              <w:rPr/>
              <w:t xml:space="preserve"> O similar Hab.Deluxe Room</w:t>
            </w:r>
          </w:p>
        </w:tc>
        <w:tc>
          <w:tcPr>
            <w:tcW w:w="7800" w:type="dxa"/>
            <w:noWrap/>
          </w:tcPr>
          <w:p>
            <w:pPr>
              <w:jc w:val="start"/>
              <w:spacing w:before="0" w:after="0"/>
            </w:pPr>
            <w:r>
              <w:rPr>
                <w:b w:val="1"/>
                <w:bCs w:val="1"/>
              </w:rPr>
              <w:t xml:space="preserve">RAMAYANA CANDIDASA</w:t>
            </w:r>
            <w:r>
              <w:rPr/>
              <w:t xml:space="preserve"> O similar Hab. Deluxe Cottage Garden</w:t>
            </w:r>
          </w:p>
        </w:tc>
        <w:tc>
          <w:tcPr>
            <w:tcW w:w="7800" w:type="dxa"/>
            <w:noWrap/>
          </w:tcPr>
          <w:p>
            <w:pPr>
              <w:jc w:val="start"/>
              <w:spacing w:before="0" w:after="0"/>
            </w:pPr>
            <w:r>
              <w:rPr>
                <w:b w:val="1"/>
                <w:bCs w:val="1"/>
              </w:rPr>
              <w:t xml:space="preserve">ALILA MANGGIS</w:t>
            </w:r>
            <w:r>
              <w:rPr/>
              <w:t xml:space="preserve"> O similar Hab. Superior</w:t>
            </w:r>
          </w:p>
        </w:tc>
        <w:tc>
          <w:tcPr>
            <w:tcW w:w="7800" w:type="dxa"/>
            <w:noWrap/>
          </w:tcPr>
          <w:p>
            <w:pPr>
              <w:jc w:val="start"/>
              <w:spacing w:before="0" w:after="0"/>
            </w:pPr>
            <w:r>
              <w:rPr>
                <w:b w:val="1"/>
                <w:bCs w:val="1"/>
              </w:rPr>
              <w:t xml:space="preserve">ALILA MANGGIS</w:t>
            </w:r>
            <w:r>
              <w:rPr/>
              <w:t xml:space="preserve"> O similar Hab. Suite</w:t>
            </w:r>
          </w:p>
        </w:tc>
      </w:tr>
      <w:tr>
        <w:trPr/>
        <w:tc>
          <w:tcPr>
            <w:tcW w:w="7800" w:type="dxa"/>
            <w:noWrap/>
          </w:tcPr>
          <w:p>
            <w:pPr>
              <w:jc w:val="start"/>
              <w:spacing w:before="0" w:after="0"/>
            </w:pPr>
            <w:r>
              <w:rPr/>
              <w:t xml:space="preserve">Ubud</w:t>
            </w:r>
          </w:p>
        </w:tc>
        <w:tc>
          <w:tcPr>
            <w:tcW w:w="7800" w:type="dxa"/>
            <w:noWrap/>
          </w:tcPr>
          <w:p>
            <w:pPr>
              <w:jc w:val="start"/>
              <w:spacing w:before="0" w:after="0"/>
            </w:pPr>
            <w:r>
              <w:rPr>
                <w:b w:val="1"/>
                <w:bCs w:val="1"/>
              </w:rPr>
              <w:t xml:space="preserve">STHALA UBUD</w:t>
            </w:r>
            <w:r>
              <w:rPr/>
              <w:t xml:space="preserve"> O similar Hab. Deluxe Room</w:t>
            </w:r>
          </w:p>
        </w:tc>
        <w:tc>
          <w:tcPr>
            <w:tcW w:w="7800" w:type="dxa"/>
            <w:noWrap/>
          </w:tcPr>
          <w:p>
            <w:pPr>
              <w:jc w:val="start"/>
              <w:spacing w:before="0" w:after="0"/>
            </w:pPr>
            <w:r>
              <w:rPr>
                <w:b w:val="1"/>
                <w:bCs w:val="1"/>
              </w:rPr>
              <w:t xml:space="preserve">ALAYA UBUD</w:t>
            </w:r>
            <w:r>
              <w:rPr/>
              <w:t xml:space="preserve"> O similar Hab. Deluxe Room</w:t>
            </w:r>
          </w:p>
        </w:tc>
        <w:tc>
          <w:tcPr>
            <w:tcW w:w="7800" w:type="dxa"/>
            <w:noWrap/>
          </w:tcPr>
          <w:p>
            <w:pPr>
              <w:jc w:val="start"/>
              <w:spacing w:before="0" w:after="0"/>
            </w:pPr>
            <w:r>
              <w:rPr>
                <w:b w:val="1"/>
                <w:bCs w:val="1"/>
              </w:rPr>
              <w:t xml:space="preserve">WESTIN UBUD</w:t>
            </w:r>
            <w:r>
              <w:rPr/>
              <w:t xml:space="preserve"> O similar Hab. Deluxe Garden View</w:t>
            </w:r>
          </w:p>
        </w:tc>
        <w:tc>
          <w:tcPr>
            <w:tcW w:w="7800" w:type="dxa"/>
            <w:noWrap/>
          </w:tcPr>
          <w:p>
            <w:pPr>
              <w:jc w:val="start"/>
              <w:spacing w:before="0" w:after="0"/>
            </w:pPr>
            <w:r>
              <w:rPr>
                <w:b w:val="1"/>
                <w:bCs w:val="1"/>
              </w:rPr>
              <w:t xml:space="preserve">FOUR SEASON SAYAN</w:t>
            </w:r>
            <w:r>
              <w:rPr/>
              <w:t xml:space="preserve"> O similar Hab. Duplex Suite</w:t>
            </w:r>
          </w:p>
        </w:tc>
      </w:tr>
      <w:tr>
        <w:trPr/>
        <w:tc>
          <w:tcPr>
            <w:tcW w:w="7800" w:type="dxa"/>
            <w:gridSpan w:val="5"/>
            <w:noWrap/>
          </w:tcPr>
          <w:p>
            <w:pPr>
              <w:jc w:val="start"/>
              <w:spacing w:before="0" w:after="0"/>
            </w:pPr>
            <w:r>
              <w:rPr/>
              <w:t xml:space="preserve">Ésta es la relación de los hoteles utilizados más frecuentemente en este circuito. Reflejada tan sólo a efectos indicativos, pudiendo ser el pasajero alojado en establecimientos similares o alternativos en la misma categoría.</w:t>
            </w:r>
          </w:p>
        </w:tc>
      </w:tr>
      <w:tr>
        <w:trPr/>
        <w:tc>
          <w:tcPr>
            <w:tcW w:w="7800" w:type="dxa"/>
            <w:gridSpan w:val="5"/>
            <w:noWrap/>
          </w:tcPr>
          <w:p>
            <w:pPr>
              <w:jc w:val="start"/>
              <w:spacing w:before="0" w:after="0"/>
            </w:pPr>
            <w:r>
              <w:rPr>
                <w:b w:val="1"/>
                <w:bCs w:val="1"/>
              </w:rPr>
              <w:t xml:space="preserve">NOTAS</w:t>
            </w:r>
            <w:r>
              <w:rPr/>
              <w:t xml:space="preserve"> * Todas las clasificaciones de los hoteles están determinadas de acuerdo con las autoridades locales. * </w:t>
            </w:r>
            <w:r>
              <w:rPr>
                <w:b w:val="1"/>
                <w:bCs w:val="1"/>
              </w:rPr>
              <w:t xml:space="preserve">Horario de entrada:</w:t>
            </w:r>
            <w:r>
              <w:rPr/>
              <w:t xml:space="preserve"> 15:00 * </w:t>
            </w:r>
            <w:r>
              <w:rPr>
                <w:b w:val="1"/>
                <w:bCs w:val="1"/>
              </w:rPr>
              <w:t xml:space="preserve">Horario de salida:</w:t>
            </w:r>
            <w:r>
              <w:rPr/>
              <w:t xml:space="preserve"> 11:00 o 12:00</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3"/>
        </w:numPr>
      </w:pPr>
      <w:r>
        <w:rPr/>
        <w:t xml:space="preserve">Tour y traslado según se menciona en el itinerario con vehículo privado</w:t>
      </w:r>
    </w:p>
    <w:p>
      <w:pPr>
        <w:numPr>
          <w:ilvl w:val="1"/>
          <w:numId w:val="3"/>
        </w:numPr>
      </w:pPr>
      <w:r>
        <w:rPr/>
        <w:t xml:space="preserve">Guía de habla hispana</w:t>
      </w:r>
    </w:p>
    <w:p>
      <w:pPr>
        <w:numPr>
          <w:ilvl w:val="1"/>
          <w:numId w:val="3"/>
        </w:numPr>
      </w:pPr>
      <w:r>
        <w:rPr/>
        <w:t xml:space="preserve">Entradas, tasas de donación y manejo de equipaje.</w:t>
      </w:r>
    </w:p>
    <w:p>
      <w:pPr>
        <w:numPr>
          <w:ilvl w:val="1"/>
          <w:numId w:val="3"/>
        </w:numPr>
      </w:pPr>
      <w:r>
        <w:rPr/>
        <w:t xml:space="preserve">Alojamiento: según se menciona en el itinerario (o similar)</w:t>
      </w:r>
    </w:p>
    <w:p>
      <w:pPr>
        <w:numPr>
          <w:ilvl w:val="1"/>
          <w:numId w:val="3"/>
        </w:numPr>
      </w:pPr>
      <w:r>
        <w:rPr/>
        <w:t xml:space="preserve">IVA y cargos por servicio</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3"/>
        </w:numPr>
      </w:pPr>
      <w:r>
        <w:rPr/>
        <w:t xml:space="preserve">Tiquetes aéreos internacionales y/o domésticos.</w:t>
      </w:r>
    </w:p>
    <w:p>
      <w:pPr>
        <w:numPr>
          <w:ilvl w:val="1"/>
          <w:numId w:val="3"/>
        </w:numPr>
      </w:pPr>
      <w:r>
        <w:rPr/>
        <w:t xml:space="preserve">Suplemento por temporada alta- TBA</w:t>
      </w:r>
    </w:p>
    <w:p>
      <w:pPr>
        <w:numPr>
          <w:ilvl w:val="1"/>
          <w:numId w:val="3"/>
        </w:numPr>
      </w:pPr>
      <w:r>
        <w:rPr/>
        <w:t xml:space="preserve">Bebidas y comidas no mencionadas en el incluye.</w:t>
      </w:r>
    </w:p>
    <w:p>
      <w:pPr>
        <w:numPr>
          <w:ilvl w:val="1"/>
          <w:numId w:val="3"/>
        </w:numPr>
      </w:pPr>
      <w:r>
        <w:rPr/>
        <w:t xml:space="preserve">Gastos personales y propinas</w:t>
      </w:r>
    </w:p>
    <w:p>
      <w:pPr>
        <w:numPr>
          <w:ilvl w:val="1"/>
          <w:numId w:val="3"/>
        </w:numPr>
      </w:pPr>
      <w:r>
        <w:rPr/>
        <w:t xml:space="preserve">Cualquier otro servicio no especificado en el incluye.</w:t>
      </w:r>
    </w:p>
    <w:p>
      <w:pPr>
        <w:numPr>
          <w:ilvl w:val="1"/>
          <w:numId w:val="3"/>
        </w:numPr>
      </w:pPr>
      <w:r>
        <w:rPr/>
        <w:t xml:space="preserve">Servicios médicos.</w:t>
      </w:r>
    </w:p>
    <w:p>
      <w:pPr>
        <w:numPr>
          <w:ilvl w:val="1"/>
          <w:numId w:val="3"/>
        </w:numPr>
      </w:pPr>
      <w:r>
        <w:rPr/>
        <w:t xml:space="preserve">Tarjeta de asistencia médica.</w:t>
      </w:r>
    </w:p>
    <w:p>
      <w:pPr>
        <w:numPr>
          <w:ilvl w:val="1"/>
          <w:numId w:val="3"/>
        </w:numPr>
      </w:pPr>
      <w:r>
        <w:rPr/>
        <w:t xml:space="preserve">2% Fee bancario.</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C3C5863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DFDD9F0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4DE164B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2025-05-30T22:00:20+00:00</dcterms:created>
  <dcterms:modified xsi:type="dcterms:W3CDTF">2025-05-30T22:00:20+00:00</dcterms:modified>
</cp:coreProperties>
</file>

<file path=docProps/custom.xml><?xml version="1.0" encoding="utf-8"?>
<Properties xmlns="http://schemas.openxmlformats.org/officeDocument/2006/custom-properties" xmlns:vt="http://schemas.openxmlformats.org/officeDocument/2006/docPropsVTypes"/>
</file>