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JAPÓN                    </w:t>
      </w:r>
    </w:p>
    <w:p>
      <w:pPr/>
      <w:r>
        <w:rPr>
          <w:rFonts w:ascii="Arial" w:hAnsi="Arial" w:eastAsia="Arial" w:cs="Arial"/>
          <w:color w:val="light"/>
          <w:sz w:val="22"/>
          <w:szCs w:val="22"/>
          <w:b w:val="0"/>
          <w:bCs w:val="0"/>
        </w:rPr>
        <w:t xml:space="preserve">MTC - 31652</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$3656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Tokio, </w:t>
      </w:r>
      <w:r>
        <w:rPr/>
        <w:t xml:space="preserve">Bangkok, </w:t>
      </w:r>
      <w:r>
        <w:rPr/>
        <w:t xml:space="preserve">Chiang Mai, </w:t>
      </w:r>
      <w:r>
        <w:rPr/>
        <w:t xml:space="preserve">Chiang Rai,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(JUEVES) BANGKOK.</w:t>
      </w:r>
      <w:br/>
      <w:r>
        <w:rPr/>
        <w:t xml:space="preserve">Llegada al aeropuerto de Bangkok donde los espera su guía de habla hispana para asistirlos en el traslado al hotel. Tiempo libre hasta realizar el check-in en el hotel según disponibilidad (normalmente las habitaciones se habilitan a partir de las 15:00, pero a veces suelen facilitarse antes). Alojamiento en hotel.</w:t>
      </w:r>
    </w:p>
    <w:p>
      <w:pPr/>
      <w:r>
        <w:rPr>
          <w:b w:val="1"/>
          <w:bCs w:val="1"/>
        </w:rPr>
        <w:t xml:space="preserve">DÍA 02 BANGKOK.</w:t>
      </w:r>
      <w:br/>
      <w:r>
        <w:rPr/>
        <w:t xml:space="preserve">Después del desayuno, visita a tres de los templos budistas más inusuales de la ciudad. Empezaremos por Wat Traimit, situado en el extremo de Chinatown, en la calle Yaowarat, cerca de la estación de tren Hualampong. Wat Traimit alberga el Buda de oro macizo más grande del mundo, midiendo casi cinco metros de altura con un peso de cinco toneladas y media. La excursión continuará hacia Wat Pho, el templo más grande de Bangkok, ubicado detrás del Templo del Buda. Aquí se encuentra el enorme Buda reclinado y los Chedis de los Reyes. Es uno de los mayores templos de la ciudad y es famoso por su gigantesco Buda reclinado que mide 46 metros de largo y está cubierto de oro. Luego nos dirigimos hacia uno de los monumentos más famosos de la ciudad – el Gran Palacio.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Phra Kaew – ‘el Templo del Buda Esmeralda’ (oficialmente Wat Phra Sri Rattana Satsadaram) – considerado el templo budista más importante de Tailandia. Es aquí donde se consagra la imagen de buda más reverenciada del país, meticulosamente tallada en un solo bloque de jade.  Traslados incluidos. Alojamiento en hotel.</w:t>
      </w:r>
    </w:p>
    <w:p>
      <w:pPr/>
      <w:r>
        <w:rPr/>
        <w:t xml:space="preserve">Régimen alimenticio: Desayuno.</w:t>
      </w:r>
    </w:p>
    <w:p>
      <w:pPr/>
      <w:r>
        <w:rPr>
          <w:b w:val="1"/>
          <w:bCs w:val="1"/>
        </w:rPr>
        <w:t xml:space="preserve">DÍA 03 BANGKOK – CHIANG RAI.</w:t>
      </w:r>
      <w:br/>
      <w:r>
        <w:rPr/>
        <w:t xml:space="preserve">Después del desayuno traslado al aeropuerto para tomar el vuelo hacia Chiang Rai (Vuelo NO incluido). Llegada a Chiang Rai con el vuelo no más tarde que las 10:00. Proceder a Chui Fong,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hoy en día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al hotel para realizar el check-in. Cena y alojamiento en el hotel.</w:t>
      </w:r>
    </w:p>
    <w:p>
      <w:pPr/>
      <w:r>
        <w:rPr/>
        <w:t xml:space="preserve">Régimen alimenticio: Desayuno, Almuerzo y Cena</w:t>
      </w:r>
    </w:p>
    <w:p>
      <w:pPr/>
      <w:r>
        <w:rPr>
          <w:b w:val="1"/>
          <w:bCs w:val="1"/>
        </w:rPr>
        <w:t xml:space="preserve">DÍA 04 CHIANG RAI – CHIANG MAI.</w:t>
      </w:r>
      <w:br/>
      <w:r>
        <w:rPr/>
        <w:t xml:space="preserve">Desayuno en el hotel. Por la mañana, nos trasladaremos al muelle para un viaje placentero en barco ‘longtail’ hacia la parte baja del rio Kok, pasando por aldeas Karen entre otras tribus montañeras. Tras explorar las pequeñas aldeas perdidas en la selva espesa, regresaremos al muelle para continuar la excursión con el Templo Azul Wat Rong Suea Tean, otro templo budista moderno inusual que se distingue por su intenso color azul y sus estatuas elaboradas. Luego saldremos por carretera en camino hacia Chiang Mai (viaje de aprox. 3 hrs), parando por el camino en Wat Rong Khun (apodado el Templo Blanco) que fue diseñado por un artista tailandés famoso. Llegando a Chiang Mai, almorzaremos en un restaurante local antes de nuestra última parada del día: Wat Doi Suthep. Este templo magnífico está ubicado a 1000 metros de elevación en las laderas de una boscosa montaña. Requiriendo una subida de 306 escalones con barandillas de serpientes Naga, este templo sagrado ofrece una vista panorámica espectacular de la ciudad, así como una gran variedad de imágenes y frescos a aquellos que estén dispuestos a emprender la escalada. Traslado al hotel de Chiang Mai para realizar el check-in.  Cena y alojamiento en el hotel.</w:t>
      </w:r>
    </w:p>
    <w:p>
      <w:pPr/>
      <w:r>
        <w:rPr/>
        <w:t xml:space="preserve">Régimen alimenticio: Desayuno, Almuerzo y Cena</w:t>
      </w:r>
    </w:p>
    <w:p>
      <w:pPr/>
      <w:r>
        <w:rPr>
          <w:b w:val="1"/>
          <w:bCs w:val="1"/>
        </w:rPr>
        <w:t xml:space="preserve">DÍA 05 CHIANG MAI.</w:t>
      </w:r>
      <w:br/>
      <w:r>
        <w:rPr/>
        <w:t xml:space="preserve">Desayuno en el hotel. Por la mañana visitaremos algunas fábricas de artesanías locales. También se visita una fábrica de esculturas de madera donde pueden comprar antigüedades birmanas.  Salida hacia el valle de Mae Sa visitando la granja de las orquídeas. Almuerzo en un restaurante local, luego nos trasladaremos al Santuario de Elefantes para aprender sobre estos gigantes y realizar diversas actividades incluyendo, dándole de comer y bañándolos – una experiencia inolvidable. Por la noche, podrán degustar de una cena Khantoke: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 Traslado de regreso y alojamiento en hotel.</w:t>
      </w:r>
    </w:p>
    <w:p>
      <w:pPr/>
      <w:r>
        <w:rPr/>
        <w:t xml:space="preserve">Régimen alimenticio: Desayuno, Almuerzo y Cena</w:t>
      </w:r>
    </w:p>
    <w:p>
      <w:pPr/>
      <w:r>
        <w:rPr>
          <w:b w:val="1"/>
          <w:bCs w:val="1"/>
        </w:rPr>
        <w:t xml:space="preserve">DÍA 06 CHIANG MAI – TOKIO.</w:t>
      </w:r>
      <w:br/>
      <w:r>
        <w:rPr/>
        <w:t xml:space="preserve">Desayuno en el hotel. Traslado al aeropuerto de Chiang Mai para conectar con el vuelo a Tokio (Vuelo NO incluido). (Se sugiere tomar un vuelo Chiang Mai – Bangkok por conectividad aérea hacia Tokio).</w:t>
      </w:r>
    </w:p>
    <w:p>
      <w:pPr/>
      <w:r>
        <w:rPr/>
        <w:t xml:space="preserve">Llegada al Aeropuerto Internacional de Narita o Haneda.</w:t>
      </w:r>
    </w:p>
    <w:p>
      <w:pPr/>
      <w:r>
        <w:rPr>
          <w:b w:val="1"/>
          <w:bCs w:val="1"/>
        </w:rPr>
        <w:t xml:space="preserve">NARITA (NRT):</w:t>
      </w:r>
      <w:r>
        <w:rPr/>
        <w:t xml:space="preserve"> 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w:t>
      </w:r>
      <w:r>
        <w:rPr/>
        <w:t xml:space="preserve"> 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07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 (108 USD POR PERSONA)</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 </w:t>
      </w:r>
      <w:r>
        <w:rPr/>
        <w:t xml:space="preserve">La actividad opcional “Ceremonia del té” no está disponible en las salidas del 1 de agosto (salida #24) y desde el 18 de noviembre hasta el 24 de febrero.</w:t>
      </w:r>
    </w:p>
    <w:p>
      <w:pPr/>
      <w:r>
        <w:rPr>
          <w:b w:val="1"/>
          <w:bCs w:val="1"/>
        </w:rPr>
        <w:t xml:space="preserve">DÍA 08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t xml:space="preserve">NOTA IMPORTANTE: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09 TOKIO – KIOTO – NARA – KIOTO.</w:t>
      </w:r>
      <w:br/>
      <w:r>
        <w:rPr/>
        <w:t xml:space="preserve">Desayuno en el hotel. *Una maleta por persona será enviada aparte en camión desde el hotel en Tokio hasta el hotel en Kioto.</w:t>
      </w:r>
    </w:p>
    <w:p>
      <w:pPr/>
      <w:r>
        <w:rPr>
          <w:b w:val="1"/>
          <w:bCs w:val="1"/>
        </w:rPr>
        <w:t xml:space="preserve">NOTA:</w:t>
      </w:r>
      <w:r>
        <w:rPr/>
        <w:t xml:space="preserve">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 </w:t>
      </w:r>
      <w:r>
        <w:rPr/>
        <w:t xml:space="preserve">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10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11 KIOTO.</w:t>
      </w:r>
      <w:br/>
      <w:r>
        <w:rPr/>
        <w:t xml:space="preserve">Desayuno en el hotel. Todo el día libre para actividades personales.</w:t>
      </w:r>
    </w:p>
    <w:p>
      <w:pPr/>
      <w:r>
        <w:rPr>
          <w:b w:val="1"/>
          <w:bCs w:val="1"/>
        </w:rPr>
        <w:t xml:space="preserve">TOUR OPCIONAL A HIROSHIMA andamp; MIYAJIMA</w:t>
      </w:r>
      <w:r>
        <w:rPr/>
        <w:t xml:space="preserve"> (668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12 KIOTO – SALIDA DE JAPÓN (KANSAI O ITAMI).</w:t>
      </w:r>
      <w:br/>
      <w:r>
        <w:rPr/>
        <w:t xml:space="preserve">Desayuno en el hotel. Si la hora de salida del hotel es temprana y los pasajeros no pueden desayunar en el hotel, el hotel proveerá un box breakfast.</w:t>
      </w:r>
    </w:p>
    <w:p>
      <w:pPr/>
      <w:r>
        <w:rPr/>
        <w:t xml:space="preserve">Si la hora de salida del vuelo es después de las 08:00 a.m. </w:t>
      </w:r>
      <w:br/>
      <w:r>
        <w:rPr/>
        <w:t xml:space="preserve">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r>
        <w:rPr/>
        <w:t xml:space="preserve">Si la hora de salida del vuelo es a las 08:00 a.m. o antes de las 08:00 a.m. </w:t>
      </w:r>
      <w:br/>
      <w:r>
        <w:rPr/>
        <w:t xml:space="preserve">Reunión con un taxista en la entrada del hotel. (La hora de recogida será decidida por nosotros según la hora de salida del vuelo e informada a los pasajeros durante el tour por el guía.) Traslado al aeropuerto de Kansai o Itami en taxi sin asistencia. Llegada al aeropuerto y check-in en el mostrador de su compañía aérea por su cuenta.</w:t>
      </w:r>
    </w:p>
    <w:p>
      <w:pPr/>
      <w:r>
        <w:rPr/>
        <w:t xml:space="preserve">*Acerca del traslado de salida, si la hora de salida del vuelo desde el Aeropuerto de Kansai (KIX) o de Itami (ITM) es a las 08:00 a.m. o antes de las 08:00 a.m., se aplicará un suplemento de (200 USD aproximadamente por pasajero), ya que reservaremos un taxi para el traslado. (En caso de un pasajero viajando solo, el suplemento será de 400 USD aproximadamente.)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r>
              <w:rPr/>
              <w:t xml:space="preserve"> </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 A: </w:t>
            </w:r>
            <w:r>
              <w:rPr/>
              <w:t xml:space="preserve">29 Mayo 2025 / 05, 12, 19 Junio 2025.</w:t>
            </w:r>
          </w:p>
        </w:tc>
      </w:tr>
      <w:tr>
        <w:trPr/>
        <w:tc>
          <w:tcPr>
            <w:tcW w:w="7800" w:type="dxa"/>
            <w:gridSpan w:val="7"/>
            <w:noWrap/>
          </w:tcPr>
          <w:p>
            <w:pPr>
              <w:jc w:val="start"/>
              <w:spacing w:before="0" w:after="0"/>
            </w:pPr>
            <w:r>
              <w:rPr>
                <w:b w:val="1"/>
                <w:bCs w:val="1"/>
              </w:rPr>
              <w:t xml:space="preserve">Temp. B: </w:t>
            </w:r>
            <w:r>
              <w:rPr/>
              <w:t xml:space="preserve">08, 15, 22 Mayo 2025 / 26 Junio 2025 / 03, 17, 24 Julio 2025 / 14, 21, 28 Agosto 2025.</w:t>
            </w:r>
          </w:p>
        </w:tc>
      </w:tr>
      <w:tr>
        <w:trPr/>
        <w:tc>
          <w:tcPr>
            <w:tcW w:w="7800" w:type="dxa"/>
            <w:gridSpan w:val="7"/>
            <w:noWrap/>
          </w:tcPr>
          <w:p>
            <w:pPr>
              <w:jc w:val="start"/>
              <w:spacing w:before="0" w:after="0"/>
            </w:pPr>
            <w:r>
              <w:rPr>
                <w:b w:val="1"/>
                <w:bCs w:val="1"/>
              </w:rPr>
              <w:t xml:space="preserve">Temp. C: </w:t>
            </w:r>
            <w:r>
              <w:rPr/>
              <w:t xml:space="preserve">10, 17 Abril 2025 / 01 Mayo 2025 / 11, 18, 25 Septiembre 2025 / 09, 16, 23 Octubre 2025.</w:t>
            </w:r>
          </w:p>
        </w:tc>
      </w:tr>
      <w:tr>
        <w:trPr/>
        <w:tc>
          <w:tcPr>
            <w:tcW w:w="7800" w:type="dxa"/>
            <w:gridSpan w:val="7"/>
            <w:noWrap/>
          </w:tcPr>
          <w:p>
            <w:pPr>
              <w:jc w:val="start"/>
              <w:spacing w:before="0" w:after="0"/>
            </w:pPr>
            <w:r>
              <w:rPr>
                <w:b w:val="1"/>
                <w:bCs w:val="1"/>
              </w:rPr>
              <w:t xml:space="preserve">Temp. D: </w:t>
            </w:r>
            <w:r>
              <w:rPr/>
              <w:t xml:space="preserve">03 Abril 2025 / 10 Julio 2025 / 04 Septiembre 2025 / 02 Octubre 2025.</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3.700</w:t>
            </w:r>
          </w:p>
        </w:tc>
        <w:tc>
          <w:tcPr>
            <w:tcW w:w="7800" w:type="dxa"/>
            <w:noWrap/>
          </w:tcPr>
          <w:p>
            <w:pPr>
              <w:jc w:val="start"/>
              <w:spacing w:before="0" w:after="0"/>
            </w:pPr>
            <w:r>
              <w:rPr/>
              <w:t xml:space="preserve">USD 3.656</w:t>
            </w:r>
          </w:p>
        </w:tc>
        <w:tc>
          <w:tcPr>
            <w:tcW w:w="7800" w:type="dxa"/>
            <w:noWrap/>
          </w:tcPr>
          <w:p>
            <w:pPr>
              <w:jc w:val="start"/>
              <w:spacing w:before="0" w:after="0"/>
            </w:pPr>
            <w:r>
              <w:rPr/>
              <w:t xml:space="preserve">USD 5.533</w:t>
            </w:r>
          </w:p>
        </w:tc>
        <w:tc>
          <w:tcPr>
            <w:tcW w:w="7800" w:type="dxa"/>
            <w:noWrap/>
          </w:tcPr>
          <w:p>
            <w:pPr>
              <w:jc w:val="start"/>
              <w:spacing w:before="0" w:after="0"/>
            </w:pPr>
            <w:r>
              <w:rPr/>
              <w:t xml:space="preserve">USD 3.442</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3.833</w:t>
            </w:r>
          </w:p>
        </w:tc>
        <w:tc>
          <w:tcPr>
            <w:tcW w:w="7800" w:type="dxa"/>
            <w:noWrap/>
          </w:tcPr>
          <w:p>
            <w:pPr>
              <w:jc w:val="start"/>
              <w:spacing w:before="0" w:after="0"/>
            </w:pPr>
            <w:r>
              <w:rPr/>
              <w:t xml:space="preserve">USD 3.789</w:t>
            </w:r>
          </w:p>
        </w:tc>
        <w:tc>
          <w:tcPr>
            <w:tcW w:w="7800" w:type="dxa"/>
            <w:noWrap/>
          </w:tcPr>
          <w:p>
            <w:pPr>
              <w:jc w:val="start"/>
              <w:spacing w:before="0" w:after="0"/>
            </w:pPr>
            <w:r>
              <w:rPr/>
              <w:t xml:space="preserve">USD 5.800</w:t>
            </w:r>
          </w:p>
        </w:tc>
        <w:tc>
          <w:tcPr>
            <w:tcW w:w="7800" w:type="dxa"/>
            <w:noWrap/>
          </w:tcPr>
          <w:p>
            <w:pPr>
              <w:jc w:val="start"/>
              <w:spacing w:before="0" w:after="0"/>
            </w:pPr>
            <w:r>
              <w:rPr/>
              <w:t xml:space="preserve">USD 3.575</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4.100</w:t>
            </w:r>
          </w:p>
        </w:tc>
        <w:tc>
          <w:tcPr>
            <w:tcW w:w="7800" w:type="dxa"/>
            <w:noWrap/>
          </w:tcPr>
          <w:p>
            <w:pPr>
              <w:jc w:val="start"/>
              <w:spacing w:before="0" w:after="0"/>
            </w:pPr>
            <w:r>
              <w:rPr/>
              <w:t xml:space="preserve">USD 4.056</w:t>
            </w:r>
          </w:p>
        </w:tc>
        <w:tc>
          <w:tcPr>
            <w:tcW w:w="7800" w:type="dxa"/>
            <w:noWrap/>
          </w:tcPr>
          <w:p>
            <w:pPr>
              <w:jc w:val="start"/>
              <w:spacing w:before="0" w:after="0"/>
            </w:pPr>
            <w:r>
              <w:rPr/>
              <w:t xml:space="preserve">USD 6.267</w:t>
            </w:r>
          </w:p>
        </w:tc>
        <w:tc>
          <w:tcPr>
            <w:tcW w:w="7800" w:type="dxa"/>
            <w:noWrap/>
          </w:tcPr>
          <w:p>
            <w:pPr>
              <w:jc w:val="start"/>
              <w:spacing w:before="0" w:after="0"/>
            </w:pPr>
            <w:r>
              <w:rPr/>
              <w:t xml:space="preserve">USD 3.775</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4.367</w:t>
            </w:r>
          </w:p>
        </w:tc>
        <w:tc>
          <w:tcPr>
            <w:tcW w:w="7800" w:type="dxa"/>
            <w:noWrap/>
          </w:tcPr>
          <w:p>
            <w:pPr>
              <w:jc w:val="start"/>
              <w:spacing w:before="0" w:after="0"/>
            </w:pPr>
            <w:r>
              <w:rPr/>
              <w:t xml:space="preserve">USD 4.322</w:t>
            </w:r>
          </w:p>
        </w:tc>
        <w:tc>
          <w:tcPr>
            <w:tcW w:w="7800" w:type="dxa"/>
            <w:noWrap/>
          </w:tcPr>
          <w:p>
            <w:pPr>
              <w:jc w:val="start"/>
              <w:spacing w:before="0" w:after="0"/>
            </w:pPr>
            <w:r>
              <w:rPr/>
              <w:t xml:space="preserve">USD 6.667</w:t>
            </w:r>
          </w:p>
        </w:tc>
        <w:tc>
          <w:tcPr>
            <w:tcW w:w="7800" w:type="dxa"/>
            <w:noWrap/>
          </w:tcPr>
          <w:p>
            <w:pPr>
              <w:jc w:val="start"/>
              <w:spacing w:before="0" w:after="0"/>
            </w:pPr>
            <w:r>
              <w:rPr/>
              <w:t xml:space="preserve">USD 4.108</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r>
        <w:trPr/>
        <w:tc>
          <w:tcPr>
            <w:tcW w:w="7800" w:type="dxa"/>
            <w:gridSpan w:val="5"/>
            <w:noWrap/>
          </w:tcPr>
          <w:p>
            <w:pPr>
              <w:jc w:val="start"/>
              <w:spacing w:before="0" w:after="0"/>
            </w:pPr>
            <w:r>
              <w:rPr>
                <w:b w:val="1"/>
                <w:bCs w:val="1"/>
              </w:rPr>
              <w:t xml:space="preserve">12 – 15 ABRIL 2025, APLICA SUPLEMENTO DE 75 USD POR PERSONA POR NOCHE.</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Bangkok</w:t>
            </w:r>
          </w:p>
        </w:tc>
        <w:tc>
          <w:tcPr>
            <w:tcW w:w="7800" w:type="dxa"/>
            <w:noWrap/>
          </w:tcPr>
          <w:p>
            <w:pPr>
              <w:jc w:val="start"/>
              <w:spacing w:before="0" w:after="0"/>
            </w:pPr>
            <w:r>
              <w:rPr/>
              <w:t xml:space="preserve">2</w:t>
            </w:r>
          </w:p>
        </w:tc>
        <w:tc>
          <w:tcPr>
            <w:tcW w:w="7800" w:type="dxa"/>
            <w:noWrap/>
          </w:tcPr>
          <w:p>
            <w:pPr>
              <w:jc w:val="start"/>
              <w:spacing w:before="0" w:after="0"/>
            </w:pPr>
            <w:r>
              <w:rPr/>
              <w:t xml:space="preserve">Mandarin Hotel By Centre Point, Hab. Deluxe o similar.</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t xml:space="preserve">1</w:t>
            </w:r>
          </w:p>
        </w:tc>
        <w:tc>
          <w:tcPr>
            <w:tcW w:w="7800" w:type="dxa"/>
            <w:noWrap/>
          </w:tcPr>
          <w:p>
            <w:pPr>
              <w:jc w:val="start"/>
              <w:spacing w:before="0" w:after="0"/>
            </w:pPr>
            <w:r>
              <w:rPr/>
              <w:t xml:space="preserve">Legend Resort, Hab. Superior o similar.</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t xml:space="preserve">2</w:t>
            </w:r>
          </w:p>
        </w:tc>
        <w:tc>
          <w:tcPr>
            <w:tcW w:w="7800" w:type="dxa"/>
            <w:noWrap/>
          </w:tcPr>
          <w:p>
            <w:pPr>
              <w:jc w:val="start"/>
              <w:spacing w:before="0" w:after="0"/>
            </w:pPr>
            <w:r>
              <w:rPr/>
              <w:t xml:space="preserve">Novotel Nimman, Hab. Standard o similar.</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2-5,7-9)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3 almuerzos y 1 cena (La cena es al estilo japonés).</w:t>
      </w:r>
    </w:p>
    <w:p>
      <w:pPr>
        <w:numPr>
          <w:ilvl w:val="1"/>
          <w:numId w:val="2"/>
        </w:numPr>
      </w:pPr>
      <w:r>
        <w:rPr/>
        <w:t xml:space="preserve">Tren Bala Nozomi (Tokio – Kioto) / asientos reservados en clase turista.</w:t>
      </w:r>
    </w:p>
    <w:p>
      <w:pPr>
        <w:numPr>
          <w:ilvl w:val="1"/>
          <w:numId w:val="2"/>
        </w:numPr>
      </w:pPr>
      <w:r>
        <w:rPr/>
        <w:t xml:space="preserve">Tren express Hida (Gero a Nagoya) / asientos reservados en clase turista.</w:t>
      </w:r>
    </w:p>
    <w:p>
      <w:pPr>
        <w:numPr>
          <w:ilvl w:val="1"/>
          <w:numId w:val="2"/>
        </w:numPr>
      </w:pPr>
      <w:r>
        <w:rPr/>
        <w:t xml:space="preserve">Tren Bala Nozomi (Nagoya a Shin-Osaka)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 (Día 7) maleta serán transportadas aparte en camión desde el hotel en Kioto hasta el hotel en Osaka. Los pasajeros tienen que preparar y llevar consigo una mochila con ropa y otras cosas indispensables para pasar una noche en Kanazawa y otra en Gero.</w:t>
      </w:r>
    </w:p>
    <w:p>
      <w:pPr>
        <w:numPr>
          <w:ilvl w:val="1"/>
          <w:numId w:val="2"/>
        </w:numPr>
      </w:pPr>
      <w:r>
        <w:rPr/>
        <w:t xml:space="preserve">Transporte de 1 maleta por persona está permitida de tamaño normal hasta 23 kg.</w:t>
      </w:r>
    </w:p>
    <w:p>
      <w:pPr>
        <w:numPr>
          <w:ilvl w:val="1"/>
          <w:numId w:val="2"/>
        </w:numPr>
      </w:pPr>
      <w:r>
        <w:rPr/>
        <w:t xml:space="preserve">Alojamiento en la categoría seleccionada y alimentos (sin bebidas) como indica en el itinerario en Tailandia.</w:t>
      </w:r>
    </w:p>
    <w:p>
      <w:pPr>
        <w:numPr>
          <w:ilvl w:val="1"/>
          <w:numId w:val="2"/>
        </w:numPr>
      </w:pPr>
      <w:r>
        <w:rPr/>
        <w:t xml:space="preserve">Traslados, visitas y excursiones con guía de habla hispana en Tailandia.</w:t>
      </w:r>
    </w:p>
    <w:p>
      <w:pPr>
        <w:numPr>
          <w:ilvl w:val="1"/>
          <w:numId w:val="2"/>
        </w:numPr>
      </w:pPr>
      <w:r>
        <w:rPr/>
        <w:t xml:space="preserve">Entradas a los sitios de interés durante las visitas y excursiones en Tailandia.</w:t>
      </w:r>
    </w:p>
    <w:p>
      <w:pPr>
        <w:numPr>
          <w:ilvl w:val="1"/>
          <w:numId w:val="2"/>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Tiquetes aéreos Bangkok – Chiang Rai (Tarifa referencial 173 USD Neto por persona, sujeto a cambios sin previo aviso).</w:t>
      </w:r>
    </w:p>
    <w:p>
      <w:pPr>
        <w:numPr>
          <w:ilvl w:val="1"/>
          <w:numId w:val="2"/>
        </w:numPr>
      </w:pPr>
      <w:r>
        <w:rPr/>
        <w:t xml:space="preserve">Tiquetes aéreos Chiang Mai - Bangkok (Tarifa referencial 180 USD Neto por persona, sujeto a cambios sin previo aviso).</w:t>
      </w:r>
    </w:p>
    <w:p>
      <w:pPr>
        <w:numPr>
          <w:ilvl w:val="1"/>
          <w:numId w:val="2"/>
        </w:numPr>
      </w:pPr>
      <w:r>
        <w:rPr/>
        <w:t xml:space="preserve">Gastos de índole personal.</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Vacuna contra la fiebre amarilla OBLIGATORIA.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FAB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8FBE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2025-08-02T13:40:28+00:00</dcterms:created>
  <dcterms:modified xsi:type="dcterms:W3CDTF">2025-08-02T13:40:28+00:00</dcterms:modified>
</cp:coreProperties>
</file>

<file path=docProps/custom.xml><?xml version="1.0" encoding="utf-8"?>
<Properties xmlns="http://schemas.openxmlformats.org/officeDocument/2006/custom-properties" xmlns:vt="http://schemas.openxmlformats.org/officeDocument/2006/docPropsVTypes"/>
</file>