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BANGKOK, CHIANG RAI - CHIANG MAI                    </w:t>
      </w:r>
    </w:p>
    <w:p>
      <w:pPr/>
      <w:r>
        <w:rPr>
          <w:rFonts w:ascii="Arial" w:hAnsi="Arial" w:eastAsia="Arial" w:cs="Arial"/>
          <w:color w:val="light"/>
          <w:sz w:val="22"/>
          <w:szCs w:val="22"/>
          <w:b w:val="0"/>
          <w:bCs w:val="0"/>
        </w:rPr>
        <w:t xml:space="preserve">MTC - 31647</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 (JUEVES) / (DOMINGOS) BANGKOK.</w:t>
      </w:r>
      <w:br/>
      <w:r>
        <w:rPr/>
        <w:t xml:space="preserve">Llegada al aeropuerto de Bangkok donde los espera su guía de habla hispana para asistirlos en el traslado al hotel. Tiempo libre hasta realizar el check-in en el hotel según disponibilidad (normalmente las habitaciones se habilitan a partir de las 15:00, pero a veces suelen facilitarse antes). Alojamiento en hotel.</w:t>
      </w:r>
    </w:p>
    <w:p>
      <w:pPr/>
      <w:r>
        <w:rPr>
          <w:b w:val="1"/>
          <w:bCs w:val="1"/>
        </w:rPr>
        <w:t xml:space="preserve">DÍA 02 (MIÉRCOLES) / (VIERNES) / (LUNES) BANGKOK.</w:t>
      </w:r>
      <w:br/>
      <w:r>
        <w:rPr/>
        <w:t xml:space="preserve">Después del desayuno, visita a tres de los templos budistas más inusuales de la ciudad. Empezaremos por Wat Traimit, situado en el extremo de Chinatown, en la calle Yaowarat, cerca de la estación de tren Hualampong. Wat Traimit alberga el Buda de oro macizo más grande del mundo, midiendo casi cinco metros de altura con un peso de cinco toneladas y media. La excursión continuará hacia Wat Pho, el templo más grande de Bangkok, ubicado detrás del Templo del Buda. Aquí se encuentra el enorme Buda reclinado y los Chedis de los Reyes. Es uno de los mayores templos de la ciudad y es famoso por su gigantesco Buda reclinado que mide 46 metros de largo y está cubierto de oro. Luego nos dirigimos hacia uno de los monumentos más famosos de la ciudad – el Gran Palacio. Construido en 1782, sirvió por 150 años como la casa del rey de Tailandia, la corte real y la sede administrativa del gobierno. El Gran Palacio de Bangkok es un edificio antiguo que continúa impresionando a sus visitantes con su hermosa arquitectura y detalles intricados. Dentro del complejo, se encuentra Wat Phra Kaew – ‘el Templo del Buda Esmeralda’ (oficialmente Wat Phra Sri Rattana Satsadaram) – considerado el templo budista más importante de Tailandia. Es aquí donde se consagra la imagen de buda más reverenciada del país, meticulosamente tallada en un solo bloque de jade.  Traslados incluidos. Alojamiento en hotel.</w:t>
      </w:r>
    </w:p>
    <w:p>
      <w:pPr/>
      <w:r>
        <w:rPr/>
        <w:t xml:space="preserve">Régimen alimenticio: Desayuno.</w:t>
      </w:r>
    </w:p>
    <w:p>
      <w:pPr/>
      <w:r>
        <w:rPr>
          <w:b w:val="1"/>
          <w:bCs w:val="1"/>
        </w:rPr>
        <w:t xml:space="preserve">DÍA 03 (JUEVES) / (SÁBADO) / (MARTES) BANGKOK – CHIANG RAI.</w:t>
      </w:r>
      <w:br/>
      <w:r>
        <w:rPr/>
        <w:t xml:space="preserve">Después del desayuno traslado al aeropuerto para tomar el vuelo hacia Chiang Rai. Llegada a Chiang Rai con el vuelo no más tarde que las 10:00. 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el check-in. Cena y alojamiento en el hotel.</w:t>
      </w:r>
    </w:p>
    <w:p>
      <w:pPr/>
      <w:r>
        <w:rPr/>
        <w:t xml:space="preserve">Régimen alimenticio: Desayuno, Almuerzo y Cena</w:t>
      </w:r>
    </w:p>
    <w:p>
      <w:pPr/>
      <w:r>
        <w:rPr>
          <w:b w:val="1"/>
          <w:bCs w:val="1"/>
        </w:rPr>
        <w:t xml:space="preserve">DÍA 04 (VIERNES) / (DOMINGO) / (MIÉRCOLES) CHIANG RAI – CHIANG MAI.</w:t>
      </w:r>
      <w:br/>
      <w:r>
        <w:rPr/>
        <w:t xml:space="preserve">Desayuno en el hotel. Por la mañana, nos trasladaremos al muelle para un viaje placentero en barco ‘longtail’ hacia la parte baja del rio Kok, pasando por aldeas Karen entre otras tribus montañeras. Tras explorar las pequeñas aldeas perdidas en la selva espesa, regresaremos al muelle para continuar la excursión con el Templo Azul Wat Rong Suea Tean, otro templo budista moderno inusual que se distingue por su intenso color azul y sus estatuas elaboradas. Luego saldremos por carretera en camino hacia Chiang Mai (viaje de aprox. 3 hrs), parando por el camino en Wat Rong Khun (apodado el Templo Blanco) que fue diseñado por un artista tailandés famoso. Llegando a Chiang Mai, almorzaremos en un restaurante local antes de nuestra última parada del día: Wat Doi Suthep. Este templo magnífico está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Traslado al hotel de Chiang Mai para realizar el check-in.  Cena y alojamiento en el hotel.</w:t>
      </w:r>
    </w:p>
    <w:p>
      <w:pPr/>
      <w:r>
        <w:rPr/>
        <w:t xml:space="preserve">Régimen alimenticio: Desayuno, Almuerzo y Cena</w:t>
      </w:r>
    </w:p>
    <w:p>
      <w:pPr/>
      <w:r>
        <w:rPr>
          <w:b w:val="1"/>
          <w:bCs w:val="1"/>
        </w:rPr>
        <w:t xml:space="preserve">DÍA 05 (SÁBADO) / (LUNES) / (JUEVES) CHIANG MAI.</w:t>
      </w:r>
      <w:br/>
      <w:r>
        <w:rPr/>
        <w:t xml:space="preserve">Desayuno en el hotel. Por la mañana visitaremos algunas fábricas de artesanías locales. También se visita una fábrica de esculturas de madera donde pueden comprar antigüedades birmanas.  Salida hacia el valle de Mae Sa visitando la granja de las orquídeas. Almuerzo en un restaurante local, luego nos trasladaremos al Santuario de Elefantes para aprender sobre estos gigantes y realizar diversas actividades incluyendo, dándole de comer y bañándolos – una experiencia inolvidable. Por la noche, podrán degustar de una cena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alojamiento en hotel.</w:t>
      </w:r>
    </w:p>
    <w:p>
      <w:pPr/>
      <w:r>
        <w:rPr/>
        <w:t xml:space="preserve">Régimen alimenticio: Desayuno, Almuerzo y Cena</w:t>
      </w:r>
    </w:p>
    <w:p>
      <w:pPr/>
      <w:r>
        <w:rPr>
          <w:b w:val="1"/>
          <w:bCs w:val="1"/>
        </w:rPr>
        <w:t xml:space="preserve">DÍA 06 (DOMINGO) / (MARTES) / (VIERNES) CHIANG MAI.</w:t>
      </w:r>
      <w:br/>
      <w:r>
        <w:rPr/>
        <w:t xml:space="preserve">Desayuno en el hotel. Traslado al aeropuerto de Chiang Mai para conectar con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Mar</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Jue</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Dom</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9"/>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gridSpan w:val="2"/>
            <w:noWrap/>
          </w:tcPr>
          <w:p>
            <w:pPr>
              <w:jc w:val="start"/>
              <w:spacing w:before="0" w:after="0"/>
            </w:pPr>
            <w:r>
              <w:rPr>
                <w:b w:val="1"/>
                <w:bCs w:val="1"/>
              </w:rPr>
              <w:t xml:space="preserve">STANDARD</w:t>
            </w:r>
          </w:p>
        </w:tc>
        <w:tc>
          <w:tcPr>
            <w:tcW w:w="7800" w:type="dxa"/>
            <w:gridSpan w:val="2"/>
            <w:noWrap/>
          </w:tcPr>
          <w:p>
            <w:pPr>
              <w:jc w:val="start"/>
              <w:spacing w:before="0" w:after="0"/>
            </w:pPr>
            <w:r>
              <w:rPr>
                <w:b w:val="1"/>
                <w:bCs w:val="1"/>
              </w:rPr>
              <w:t xml:space="preserve">SUPERIOR</w:t>
            </w:r>
          </w:p>
        </w:tc>
        <w:tc>
          <w:tcPr>
            <w:tcW w:w="7800" w:type="dxa"/>
            <w:gridSpan w:val="2"/>
            <w:noWrap/>
          </w:tcPr>
          <w:p>
            <w:pPr>
              <w:jc w:val="start"/>
              <w:spacing w:before="0" w:after="0"/>
            </w:pPr>
            <w:r>
              <w:rPr>
                <w:b w:val="1"/>
                <w:bCs w:val="1"/>
              </w:rPr>
              <w:t xml:space="preserve">DELUXE</w:t>
            </w:r>
          </w:p>
        </w:tc>
        <w:tc>
          <w:tcPr>
            <w:tcW w:w="7800" w:type="dxa"/>
            <w:gridSpan w:val="2"/>
            <w:noWrap/>
          </w:tcPr>
          <w:p>
            <w:pPr>
              <w:jc w:val="start"/>
              <w:spacing w:before="0" w:after="0"/>
            </w:pPr>
            <w:r>
              <w:rPr>
                <w:b w:val="1"/>
                <w:bCs w:val="1"/>
              </w:rPr>
              <w:t xml:space="preserve">GOLD DELUXE</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Abril’2025 – Octubre’2025.</w:t>
            </w:r>
          </w:p>
        </w:tc>
        <w:tc>
          <w:tcPr>
            <w:tcW w:w="7800" w:type="dxa"/>
            <w:noWrap/>
          </w:tcPr>
          <w:p>
            <w:pPr>
              <w:jc w:val="start"/>
              <w:spacing w:before="0" w:after="0"/>
            </w:pPr>
            <w:r>
              <w:rPr/>
              <w:t xml:space="preserve">USD 727</w:t>
            </w:r>
          </w:p>
        </w:tc>
        <w:tc>
          <w:tcPr>
            <w:tcW w:w="7800" w:type="dxa"/>
            <w:noWrap/>
          </w:tcPr>
          <w:p>
            <w:pPr>
              <w:jc w:val="start"/>
              <w:spacing w:before="0" w:after="0"/>
            </w:pPr>
            <w:r>
              <w:rPr/>
              <w:t xml:space="preserve">USD 1.013</w:t>
            </w:r>
          </w:p>
        </w:tc>
        <w:tc>
          <w:tcPr>
            <w:tcW w:w="7800" w:type="dxa"/>
            <w:noWrap/>
          </w:tcPr>
          <w:p>
            <w:pPr>
              <w:jc w:val="start"/>
              <w:spacing w:before="0" w:after="0"/>
            </w:pPr>
            <w:r>
              <w:rPr/>
              <w:t xml:space="preserve">USD 767</w:t>
            </w:r>
          </w:p>
        </w:tc>
        <w:tc>
          <w:tcPr>
            <w:tcW w:w="7800" w:type="dxa"/>
            <w:noWrap/>
          </w:tcPr>
          <w:p>
            <w:pPr>
              <w:jc w:val="start"/>
              <w:spacing w:before="0" w:after="0"/>
            </w:pPr>
            <w:r>
              <w:rPr/>
              <w:t xml:space="preserve">USD 1.133</w:t>
            </w:r>
          </w:p>
        </w:tc>
        <w:tc>
          <w:tcPr>
            <w:tcW w:w="7800" w:type="dxa"/>
            <w:noWrap/>
          </w:tcPr>
          <w:p>
            <w:pPr>
              <w:jc w:val="start"/>
              <w:spacing w:before="0" w:after="0"/>
            </w:pPr>
            <w:r>
              <w:rPr/>
              <w:t xml:space="preserve">USD 1.047</w:t>
            </w:r>
          </w:p>
        </w:tc>
        <w:tc>
          <w:tcPr>
            <w:tcW w:w="7800" w:type="dxa"/>
            <w:noWrap/>
          </w:tcPr>
          <w:p>
            <w:pPr>
              <w:jc w:val="start"/>
              <w:spacing w:before="0" w:after="0"/>
            </w:pPr>
            <w:r>
              <w:rPr/>
              <w:t xml:space="preserve">USD 1.680</w:t>
            </w:r>
          </w:p>
        </w:tc>
        <w:tc>
          <w:tcPr>
            <w:tcW w:w="7800" w:type="dxa"/>
            <w:noWrap/>
          </w:tcPr>
          <w:p>
            <w:pPr>
              <w:jc w:val="start"/>
              <w:spacing w:before="0" w:after="0"/>
            </w:pPr>
            <w:r>
              <w:rPr/>
              <w:t xml:space="preserve">USD 1.353</w:t>
            </w:r>
          </w:p>
        </w:tc>
        <w:tc>
          <w:tcPr>
            <w:tcW w:w="7800" w:type="dxa"/>
            <w:noWrap/>
          </w:tcPr>
          <w:p>
            <w:pPr>
              <w:jc w:val="start"/>
              <w:spacing w:before="0" w:after="0"/>
            </w:pPr>
            <w:r>
              <w:rPr/>
              <w:t xml:space="preserve">USD 2.073</w:t>
            </w:r>
          </w:p>
        </w:tc>
      </w:tr>
      <w:tr>
        <w:trPr/>
        <w:tc>
          <w:tcPr>
            <w:tcW w:w="7800" w:type="dxa"/>
            <w:gridSpan w:val="9"/>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9"/>
            <w:noWrap/>
          </w:tcPr>
          <w:p>
            <w:pPr>
              <w:jc w:val="start"/>
              <w:spacing w:before="0" w:after="0"/>
            </w:pPr>
            <w:r>
              <w:rPr>
                <w:b w:val="1"/>
                <w:bCs w:val="1"/>
              </w:rPr>
              <w:t xml:space="preserve">POLITICA CHDS: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se usa una cama extra en la habitación de sus padres.</w:t>
            </w:r>
          </w:p>
          <w:p>
            <w:pPr>
              <w:numPr>
                <w:ilvl w:val="0"/>
                <w:numId w:val="1"/>
              </w:numPr>
            </w:pPr>
            <w:r>
              <w:rPr/>
              <w:t xml:space="preserve">Niños de más de 12 años: Cargo como precio de adulto</w:t>
            </w:r>
          </w:p>
        </w:tc>
      </w:tr>
      <w:tr>
        <w:trPr/>
        <w:tc>
          <w:tcPr>
            <w:tcW w:w="7800" w:type="dxa"/>
            <w:gridSpan w:val="9"/>
            <w:noWrap/>
          </w:tcPr>
          <w:p>
            <w:pPr>
              <w:jc w:val="start"/>
              <w:spacing w:before="0" w:after="0"/>
            </w:pPr>
            <w:r>
              <w:rPr>
                <w:b w:val="1"/>
                <w:bCs w:val="1"/>
              </w:rPr>
              <w:t xml:space="preserve">Cena de gala Obligatoria para salidas con hospedaje la noche del 31 de Diciembre 2024, el valor será informado por su asesor al momento de confirmar la reserva.</w:t>
            </w:r>
          </w:p>
        </w:tc>
      </w:tr>
      <w:tr>
        <w:trPr/>
        <w:tc>
          <w:tcPr>
            <w:tcW w:w="7800" w:type="dxa"/>
            <w:gridSpan w:val="9"/>
            <w:noWrap/>
          </w:tcPr>
          <w:p>
            <w:pPr>
              <w:jc w:val="start"/>
              <w:spacing w:before="0" w:after="0"/>
            </w:pPr>
            <w:r>
              <w:rPr>
                <w:b w:val="1"/>
                <w:bCs w:val="1"/>
              </w:rPr>
              <w:t xml:space="preserve">12 – 15 ABRIL’2025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spacing w:before="0" w:after="0"/>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PRECIO (Neto)</w:t>
            </w:r>
          </w:p>
        </w:tc>
      </w:tr>
      <w:tr>
        <w:trPr/>
        <w:tc>
          <w:tcPr>
            <w:tcW w:w="7800" w:type="dxa"/>
            <w:noWrap/>
          </w:tcPr>
          <w:p>
            <w:pPr>
              <w:jc w:val="start"/>
              <w:spacing w:before="0" w:after="0"/>
            </w:pPr>
            <w:r>
              <w:rPr/>
              <w:t xml:space="preserve">Bangkok – Chiang Rai</w:t>
            </w:r>
          </w:p>
        </w:tc>
        <w:tc>
          <w:tcPr>
            <w:tcW w:w="7800" w:type="dxa"/>
            <w:noWrap/>
          </w:tcPr>
          <w:p>
            <w:pPr>
              <w:jc w:val="start"/>
              <w:spacing w:before="0" w:after="0"/>
            </w:pPr>
            <w:r>
              <w:rPr/>
              <w:t xml:space="preserve">173 USD por persona/trayecto.</w:t>
            </w:r>
          </w:p>
        </w:tc>
      </w:tr>
      <w:tr>
        <w:trPr/>
        <w:tc>
          <w:tcPr>
            <w:tcW w:w="7800" w:type="dxa"/>
            <w:noWrap/>
          </w:tcPr>
          <w:p>
            <w:pPr>
              <w:jc w:val="start"/>
              <w:spacing w:before="0" w:after="0"/>
            </w:pPr>
            <w:r>
              <w:rPr/>
              <w:t xml:space="preserve">Chiang Mai - Bangkok</w:t>
            </w:r>
          </w:p>
        </w:tc>
        <w:tc>
          <w:tcPr>
            <w:tcW w:w="7800" w:type="dxa"/>
            <w:noWrap/>
          </w:tcPr>
          <w:p>
            <w:pPr>
              <w:jc w:val="start"/>
              <w:spacing w:before="0" w:after="0"/>
            </w:pPr>
            <w:r>
              <w:rPr/>
              <w:t xml:space="preserve">180 USD por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Bangkok</w:t>
            </w:r>
          </w:p>
        </w:tc>
        <w:tc>
          <w:tcPr>
            <w:tcW w:w="7800" w:type="dxa"/>
            <w:gridSpan w:val="2"/>
            <w:noWrap/>
          </w:tcPr>
          <w:p>
            <w:pPr>
              <w:jc w:val="start"/>
              <w:spacing w:before="0" w:after="0"/>
            </w:pPr>
            <w:r>
              <w:rPr>
                <w:b w:val="1"/>
                <w:bCs w:val="1"/>
              </w:rPr>
              <w:t xml:space="preserve">MANDARIN HOTEL BY CENTRE POINT</w:t>
            </w:r>
            <w:r>
              <w:rPr/>
              <w:t xml:space="preserve"> Hab. Deluxe</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BANGKOK</w:t>
            </w:r>
            <w:r>
              <w:rPr/>
              <w:t xml:space="preserve"> Hab. So Cozy</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LA LUNA HOTEL  RESORT</w:t>
            </w:r>
            <w:r>
              <w:rPr/>
              <w:t xml:space="preserve"> Hab. Garden Bungalow</w:t>
            </w:r>
          </w:p>
        </w:tc>
        <w:tc>
          <w:tcPr>
            <w:tcW w:w="7800" w:type="dxa"/>
            <w:noWrap/>
          </w:tcPr>
          <w:p>
            <w:pPr>
              <w:jc w:val="start"/>
              <w:spacing w:before="0" w:after="0"/>
            </w:pPr>
            <w:r>
              <w:rPr>
                <w:b w:val="1"/>
                <w:bCs w:val="1"/>
              </w:rPr>
              <w:t xml:space="preserve">LEGEND RESORT</w:t>
            </w:r>
            <w:r>
              <w:rPr/>
              <w:t xml:space="preserve"> Hab. Superior</w:t>
            </w:r>
          </w:p>
        </w:tc>
        <w:tc>
          <w:tcPr>
            <w:tcW w:w="7800" w:type="dxa"/>
            <w:noWrap/>
          </w:tcPr>
          <w:p>
            <w:pPr>
              <w:jc w:val="start"/>
              <w:spacing w:before="0" w:after="0"/>
            </w:pPr>
            <w:r>
              <w:rPr>
                <w:b w:val="1"/>
                <w:bCs w:val="1"/>
              </w:rPr>
              <w:t xml:space="preserve">THE RIVERIE</w:t>
            </w:r>
            <w:r>
              <w:rPr/>
              <w:t xml:space="preserve"> Hab. Deluxe Garden.</w:t>
            </w:r>
          </w:p>
        </w:tc>
        <w:tc>
          <w:tcPr>
            <w:tcW w:w="7800" w:type="dxa"/>
            <w:noWrap/>
          </w:tcPr>
          <w:p>
            <w:pPr>
              <w:jc w:val="start"/>
              <w:spacing w:before="0" w:after="0"/>
            </w:pPr>
            <w:r>
              <w:rPr>
                <w:b w:val="1"/>
                <w:bCs w:val="1"/>
              </w:rPr>
              <w:t xml:space="preserve">LE MERIDIEN</w:t>
            </w:r>
            <w:r>
              <w:rPr/>
              <w:t xml:space="preserve"> Hab. Deluxe Garden View</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CHIANG NIMMAN</w:t>
            </w:r>
            <w:r>
              <w:rPr/>
              <w:t xml:space="preserve"> Hab. Standard</w:t>
            </w:r>
          </w:p>
        </w:tc>
        <w:tc>
          <w:tcPr>
            <w:tcW w:w="7800" w:type="dxa"/>
            <w:noWrap/>
          </w:tcPr>
          <w:p>
            <w:pPr>
              <w:jc w:val="start"/>
              <w:spacing w:before="0" w:after="0"/>
            </w:pPr>
            <w:r>
              <w:rPr>
                <w:b w:val="1"/>
                <w:bCs w:val="1"/>
              </w:rPr>
              <w:t xml:space="preserve">NOVOTEL NIMMAN</w:t>
            </w:r>
            <w:r>
              <w:rPr/>
              <w:t xml:space="preserve"> Hab. Standard</w:t>
            </w:r>
          </w:p>
        </w:tc>
        <w:tc>
          <w:tcPr>
            <w:tcW w:w="7800" w:type="dxa"/>
            <w:noWrap/>
          </w:tcPr>
          <w:p>
            <w:pPr>
              <w:jc w:val="start"/>
              <w:spacing w:before="0" w:after="0"/>
            </w:pPr>
            <w:r>
              <w:rPr>
                <w:b w:val="1"/>
                <w:bCs w:val="1"/>
              </w:rPr>
              <w:t xml:space="preserve">DUSIT D2</w:t>
            </w:r>
            <w:r>
              <w:rPr/>
              <w:t xml:space="preserve"> Hab. Deluxe</w:t>
            </w:r>
          </w:p>
        </w:tc>
        <w:tc>
          <w:tcPr>
            <w:tcW w:w="7800" w:type="dxa"/>
            <w:noWrap/>
          </w:tcPr>
          <w:p>
            <w:pPr>
              <w:jc w:val="start"/>
              <w:spacing w:before="0" w:after="0"/>
            </w:pPr>
            <w:r>
              <w:rPr>
                <w:b w:val="1"/>
                <w:bCs w:val="1"/>
              </w:rPr>
              <w:t xml:space="preserve">SHANGRI-LA</w:t>
            </w:r>
            <w:r>
              <w:rPr/>
              <w:t xml:space="preserve"> Hab. Deluxe Garden</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r>
              <w:rPr/>
              <w:t xml:space="preserve"> * Todas las clasificaciones de los hoteles están determinadas de acuerdo con las autoridades locales. * </w:t>
            </w:r>
            <w:r>
              <w:rPr>
                <w:b w:val="1"/>
                <w:bCs w:val="1"/>
              </w:rPr>
              <w:t xml:space="preserve">Horario de entrada</w:t>
            </w:r>
            <w:r>
              <w:rPr/>
              <w:t xml:space="preserve">: 13:00 o 14:00 </w:t>
            </w:r>
            <w:r>
              <w:rPr>
                <w:b w:val="1"/>
                <w:bCs w:val="1"/>
              </w:rPr>
              <w:t xml:space="preserve">Horario de salida</w:t>
            </w:r>
            <w:r>
              <w:rPr/>
              <w:t xml:space="preserve">: 11:00 o 12:00.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en la categoría seleccionada y alimentos (sin bebidas) como indica en el itinerario.</w:t>
      </w:r>
    </w:p>
    <w:p>
      <w:pPr>
        <w:numPr>
          <w:ilvl w:val="1"/>
          <w:numId w:val="3"/>
        </w:numPr>
      </w:pPr>
      <w:r>
        <w:rPr/>
        <w:t xml:space="preserve">Traslados, visitas y excursiones con guía de habla hispana. (Excepto Phuket, traslados en regular sin guía)</w:t>
      </w:r>
    </w:p>
    <w:p>
      <w:pPr>
        <w:numPr>
          <w:ilvl w:val="1"/>
          <w:numId w:val="3"/>
        </w:numPr>
      </w:pPr>
      <w:r>
        <w:rPr/>
        <w:t xml:space="preserve">Entradas a los sitios de interés durante las visitas y excursiones.</w:t>
      </w:r>
    </w:p>
    <w:p>
      <w:pPr>
        <w:numPr>
          <w:ilvl w:val="1"/>
          <w:numId w:val="3"/>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Bebidas </w:t>
      </w:r>
    </w:p>
    <w:p>
      <w:pPr>
        <w:numPr>
          <w:ilvl w:val="1"/>
          <w:numId w:val="3"/>
        </w:numPr>
      </w:pPr>
      <w:r>
        <w:rPr/>
        <w:t xml:space="preserve">Gastos personales y propinas</w:t>
      </w:r>
    </w:p>
    <w:p>
      <w:pPr>
        <w:numPr>
          <w:ilvl w:val="1"/>
          <w:numId w:val="3"/>
        </w:numPr>
      </w:pPr>
      <w:r>
        <w:rPr/>
        <w:t xml:space="preserve">Cena de gala obligatoria para salidas con hospedaje el 31 de Diciembre 2024.</w:t>
      </w:r>
    </w:p>
    <w:p>
      <w:pPr>
        <w:numPr>
          <w:ilvl w:val="1"/>
          <w:numId w:val="3"/>
        </w:numPr>
      </w:pPr>
      <w:r>
        <w:rPr/>
        <w:t xml:space="preserve">Recargo alta temporada en Phuket por mínimo de estadía.</w:t>
      </w:r>
    </w:p>
    <w:p>
      <w:pPr>
        <w:numPr>
          <w:ilvl w:val="1"/>
          <w:numId w:val="3"/>
        </w:numPr>
      </w:pPr>
      <w:r>
        <w:rPr/>
        <w:t xml:space="preserve">Tiquetes aéreos vuelos domésticos.</w:t>
      </w:r>
    </w:p>
    <w:p>
      <w:pPr>
        <w:numPr>
          <w:ilvl w:val="1"/>
          <w:numId w:val="3"/>
        </w:numPr>
      </w:pPr>
      <w:r>
        <w:rPr/>
        <w:t xml:space="preserve">Tiquetes aéreos vuelos internacionales.</w:t>
      </w:r>
    </w:p>
    <w:p>
      <w:pPr>
        <w:numPr>
          <w:ilvl w:val="1"/>
          <w:numId w:val="3"/>
        </w:numPr>
      </w:pPr>
      <w:r>
        <w:rPr/>
        <w:t xml:space="preserve">Todos los conceptos no mencionados en PRECIO INCLUYE.</w:t>
      </w:r>
    </w:p>
    <w:p>
      <w:pPr>
        <w:numPr>
          <w:ilvl w:val="1"/>
          <w:numId w:val="3"/>
        </w:numPr>
      </w:pPr>
      <w:r>
        <w:rPr/>
        <w:t xml:space="preserve">Tours opcionales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Vacuna contra la fiebre amarilla OBLIGATORIA.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EA3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BBD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F1F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2025-07-18T08:31:19+00:00</dcterms:created>
  <dcterms:modified xsi:type="dcterms:W3CDTF">2025-07-18T08:31:19+00:00</dcterms:modified>
</cp:coreProperties>
</file>

<file path=docProps/custom.xml><?xml version="1.0" encoding="utf-8"?>
<Properties xmlns="http://schemas.openxmlformats.org/officeDocument/2006/custom-properties" xmlns:vt="http://schemas.openxmlformats.org/officeDocument/2006/docPropsVTypes"/>
</file>