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TRIANGULO THAI CON PHUKET                    </w:t>
      </w:r>
    </w:p>
    <w:p>
      <w:pPr/>
      <w:r>
        <w:rPr>
          <w:rFonts w:ascii="Arial" w:hAnsi="Arial" w:eastAsia="Arial" w:cs="Arial"/>
          <w:color w:val="light"/>
          <w:sz w:val="22"/>
          <w:szCs w:val="22"/>
          <w:b w:val="0"/>
          <w:bCs w:val="0"/>
        </w:rPr>
        <w:t xml:space="preserve">MTC - 31573</w:t>
      </w:r>
    </w:p>
    <w:p>
      <w:pPr/>
      <w:r>
        <w:rPr>
          <w:rFonts w:ascii="Arial" w:hAnsi="Arial" w:eastAsia="Arial" w:cs="Arial"/>
          <w:color w:val="light"/>
          <w:sz w:val="22"/>
          <w:szCs w:val="22"/>
          <w:b w:val="0"/>
          <w:bCs w:val="0"/>
        </w:rPr>
        <w:t xml:space="preserve">10 Días y 9 Noches</w:t>
      </w:r>
    </w:p>
    <w:p/>
    <w:p/>
    <w:p>
      <w:pPr>
        <w:jc w:val="center"/>
        <w:spacing w:before="450"/>
      </w:pPr>
      <w:r>
        <w:rPr>
          <w:sz w:val="40.5"/>
          <w:szCs w:val="40.5"/>
        </w:rPr>
        <w:t xml:space="preserve">Desde $1327</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Tailandia,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Bangkok, </w:t>
      </w:r>
      <w:r>
        <w:rPr/>
        <w:t xml:space="preserve">Chiang Rai, </w:t>
      </w:r>
      <w:r>
        <w:rPr/>
        <w:t xml:space="preserve">Chiang Mai, </w:t>
      </w:r>
      <w:r>
        <w:rPr/>
        <w:t xml:space="preserve">Phuket,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BANGKOK.</w:t>
      </w:r>
      <w:br/>
      <w:r>
        <w:rPr/>
        <w:t xml:space="preserve">Llegada al aeropuerto Internacional </w:t>
      </w:r>
      <w:r>
        <w:rPr>
          <w:b w:val="1"/>
          <w:bCs w:val="1"/>
        </w:rPr>
        <w:t xml:space="preserve">Suvarnabhumi (Bangkok).</w:t>
      </w:r>
      <w:r>
        <w:rPr/>
        <w:t xml:space="preserve"> Recepción y traslado hacia el hotel. Tiempo libre hasta el check-in en el hotel según </w:t>
      </w:r>
      <w:r>
        <w:rPr>
          <w:b w:val="1"/>
          <w:bCs w:val="1"/>
        </w:rPr>
        <w:t xml:space="preserve">Alojamiento.</w:t>
      </w:r>
    </w:p>
    <w:p>
      <w:pPr/>
      <w:br/>
      <w:r>
        <w:rPr>
          <w:b w:val="1"/>
          <w:bCs w:val="1"/>
        </w:rPr>
        <w:t xml:space="preserve">DÍA 02 </w:t>
      </w:r>
      <w:br/>
      <w:r>
        <w:rPr>
          <w:b w:val="1"/>
          <w:bCs w:val="1"/>
        </w:rPr>
        <w:t xml:space="preserve">BANGKOK.</w:t>
      </w:r>
      <w:br/>
      <w:r>
        <w:rPr>
          <w:b w:val="1"/>
          <w:bCs w:val="1"/>
        </w:rPr>
        <w:t xml:space="preserve">DESAYUNO, </w:t>
      </w:r>
      <w:r>
        <w:rPr/>
        <w:t xml:space="preserve">a la hora acordada salida parra visitar los tres templos budistas más inusuales empezando por Wat Traimit. Situado en el extremo de Chinatown, en Yaowarat Road, cerca de la estación de tren Hualampong, Wat Traimit alberga el Buda de oro macizo más grande del mundo, midiendo casi cinco metros de altura con un peso de cinco toneladas y media. Luego, la excursión continuará hacia Wat Pho, el templo más grande de Bangkok, el templo del enorme Buda reclinado y los Chedis de los Reyes. Este se encuentra detrás del Templo del Buda. Es uno de los mayores templos de la ciudad y famoso por su gigantesco Buda reclinado que mide 46 metros de largo y está cubierto de oro.  A continuación, visitará el Palacio Real, que es, sin duda, el monumento más famoso de la ciudad. Construido en 1782, y por 150 años la casa del rey de Tailandia, la corte real y la sede administrativa del gobierno, el Gran Palacio de Bangkok es un edificio antiguo que continúa impresionando a sus visitantes con su hermosa arquitectura y detalles. Dentro del complejo, se encuentra Wat Phra Kaew o el Templo del Buda Esmeralda (oficialmente conocido como Wat Phra Sri Rattana Satsadaram), considerado como el templo budista más importante de Tailandia, consagra la imagen de un muy reverenciado Buda meticulosamente tallado en un solo bloque de jade. Tarde libre.</w:t>
      </w:r>
      <w:r>
        <w:rPr>
          <w:b w:val="1"/>
          <w:bCs w:val="1"/>
        </w:rPr>
        <w:t xml:space="preserve"> Alojamiento.</w:t>
      </w:r>
    </w:p>
    <w:p>
      <w:pPr/>
      <w:br/>
      <w:r>
        <w:rPr>
          <w:b w:val="1"/>
          <w:bCs w:val="1"/>
        </w:rPr>
        <w:t xml:space="preserve">DÍA 03 </w:t>
      </w:r>
      <w:br/>
      <w:r>
        <w:rPr>
          <w:b w:val="1"/>
          <w:bCs w:val="1"/>
        </w:rPr>
        <w:t xml:space="preserve">BANGKOK</w:t>
      </w:r>
      <w:br/>
      <w:r>
        <w:rPr>
          <w:b w:val="1"/>
          <w:bCs w:val="1"/>
        </w:rPr>
        <w:t xml:space="preserve">DESAYUNO</w:t>
      </w:r>
      <w:r>
        <w:rPr/>
        <w:t xml:space="preserve"> en el hotel. Día libre. </w:t>
      </w:r>
      <w:r>
        <w:rPr>
          <w:b w:val="1"/>
          <w:bCs w:val="1"/>
        </w:rPr>
        <w:t xml:space="preserve">Alojamiento.</w:t>
      </w:r>
    </w:p>
    <w:p>
      <w:pPr/>
      <w:br/>
      <w:r>
        <w:rPr>
          <w:b w:val="1"/>
          <w:bCs w:val="1"/>
        </w:rPr>
        <w:t xml:space="preserve">DÍA 04 </w:t>
      </w:r>
      <w:br/>
      <w:r>
        <w:rPr>
          <w:b w:val="1"/>
          <w:bCs w:val="1"/>
        </w:rPr>
        <w:t xml:space="preserve">BANGKOK – CHIANG RAI.</w:t>
      </w:r>
      <w:br/>
      <w:r>
        <w:rPr>
          <w:b w:val="1"/>
          <w:bCs w:val="1"/>
        </w:rPr>
        <w:t xml:space="preserve">DESAYUNO.</w:t>
      </w:r>
      <w:r>
        <w:rPr/>
        <w:t xml:space="preserve"> A la hora acordada traslado al aeropuerto para tomar el vuelo hacia Chiang Rai.</w:t>
      </w:r>
      <w:r>
        <w:rPr>
          <w:b w:val="1"/>
          <w:bCs w:val="1"/>
        </w:rPr>
        <w:t xml:space="preserve"> (BOLETO AEREO NO INCLUIDO).</w:t>
      </w:r>
      <w:r>
        <w:rPr/>
        <w:t xml:space="preserve"> Llegada a Chiang Rai con el vuelo no más tarde que las 10:00.</w:t>
      </w:r>
      <w:br/>
      <w:r>
        <w:rPr/>
        <w:t xml:space="preserve">Proceder a Chui Fong, una hermosa cultivadora de té. En un ambiente rodeado de plantaciones en las laderas de pequeñas colinas, podrán disfrutar de varias delicias como helado de té, torta de té (a gasto propio) y un</w:t>
      </w:r>
      <w:r>
        <w:rPr>
          <w:b w:val="1"/>
          <w:bCs w:val="1"/>
        </w:rPr>
        <w:t xml:space="preserve"> ALMUERZO EN UN RESTAURANTE LOCAL. </w:t>
      </w:r>
      <w:r>
        <w:rPr/>
        <w:t xml:space="preserve">Próximamente, pasaremos por el museo Casa del Opio antes de salir hacia el distrito de Mae Chan al norte de Chiang Rai. Continuando a pie, subiremos por las colinas a través de calles angostas para visitar una aldea de las minorías étnicas Akha y Yao. Nuestro último destino del día será una de las aldeas Karen; Esta tribu originaria de Tíbet emigró a lo que hoy se conoce como Myanmar hace unos dos mil años. Durante el siglo XVIII, se estima que el conflicto político y la persecución fomentaron su migración masiva hacia el norte de Tailandia, donde todavía hoy en día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 Al concluir, traslado de regreso al hotel.  </w:t>
      </w:r>
      <w:r>
        <w:rPr>
          <w:b w:val="1"/>
          <w:bCs w:val="1"/>
        </w:rPr>
        <w:t xml:space="preserve">CENA y alojamiento.</w:t>
      </w:r>
    </w:p>
    <w:p>
      <w:pPr/>
      <w:br/>
      <w:r>
        <w:rPr>
          <w:b w:val="1"/>
          <w:bCs w:val="1"/>
        </w:rPr>
        <w:t xml:space="preserve">DÍA 05 </w:t>
      </w:r>
      <w:br/>
      <w:r>
        <w:rPr>
          <w:b w:val="1"/>
          <w:bCs w:val="1"/>
        </w:rPr>
        <w:t xml:space="preserve">CHIANG RAI – CHIANG MAI. </w:t>
      </w:r>
      <w:br/>
      <w:r>
        <w:rPr>
          <w:b w:val="1"/>
          <w:bCs w:val="1"/>
        </w:rPr>
        <w:t xml:space="preserve">DESAYUNO. </w:t>
      </w:r>
      <w:r>
        <w:rPr/>
        <w:t xml:space="preserve">Por la mañana, nos trasladaremos al muelle para un viaje en barco ‘longtail’ hacia la parte baja del rio Kok, visitando a los Karen entre otras tribus montañeras. Pasando por aldeas pequeñas, cabañas de bambú, y selva espesa, exploraremos la zona antes de regresar al muelle. Continuaremos con la visita al Wat Rong Suea Tean (el Templo Azul), otro templo budista moderno inusual que se distingue por su intenso color azul y sus estatuas elaboradas. Seguidamente visitaremos el famoso templo blanco de Wat Rong Khun (Templo Blanco). </w:t>
      </w:r>
      <w:br/>
      <w:r>
        <w:rPr/>
        <w:t xml:space="preserve">Después de la visita, nos dirigiremos desde Chiang Rai a Chiang Mai por carretera. Llegada a Chiang Mai y </w:t>
      </w:r>
      <w:r>
        <w:rPr>
          <w:b w:val="1"/>
          <w:bCs w:val="1"/>
        </w:rPr>
        <w:t xml:space="preserve">ALMUERZO</w:t>
      </w:r>
      <w:r>
        <w:rPr/>
        <w:t xml:space="preserve"> en restaurante local. Nuestra última visita será al complejo de Wat Doi Suthep; un templo magnífico ubicado a 1000 metros de elevación en las laderas de una boscosa montaña. Requiriendo una subida de 306 escalones con barandillas de serpientes Naga, este templo sagrado ofrece una vista panorámica espectacular de la ciudad, así como una gran variedad de imágenes y frescos a aquellos que estén dispuestos a emprender la escalada. Continuación hacia el hotel para realizar el check-in</w:t>
      </w:r>
      <w:r>
        <w:rPr>
          <w:b w:val="1"/>
          <w:bCs w:val="1"/>
        </w:rPr>
        <w:t xml:space="preserve">. CENA y alojamiento.</w:t>
      </w:r>
    </w:p>
    <w:p>
      <w:pPr/>
      <w:br/>
      <w:r>
        <w:rPr>
          <w:b w:val="1"/>
          <w:bCs w:val="1"/>
        </w:rPr>
        <w:t xml:space="preserve">DÍA 06 </w:t>
      </w:r>
      <w:br/>
      <w:r>
        <w:rPr>
          <w:b w:val="1"/>
          <w:bCs w:val="1"/>
        </w:rPr>
        <w:t xml:space="preserve">CHIANG MAI.</w:t>
      </w:r>
      <w:br/>
      <w:r>
        <w:rPr>
          <w:b w:val="1"/>
          <w:bCs w:val="1"/>
        </w:rPr>
        <w:t xml:space="preserve">DESAYUNO.</w:t>
      </w:r>
      <w:r>
        <w:rPr/>
        <w:t xml:space="preserve"> Por la mañana visitaremos algunas fábricas de artesanías, donde veremos el proceso de trabajo local. Seguidamente, salida hacia el valle de Mae Sa visitando la granja de las orquídeas.</w:t>
      </w:r>
      <w:br/>
      <w:r>
        <w:rPr>
          <w:b w:val="1"/>
          <w:bCs w:val="1"/>
        </w:rPr>
        <w:t xml:space="preserve">ALMUERZO</w:t>
      </w:r>
      <w:r>
        <w:rPr/>
        <w:t xml:space="preserve"> en restaurante local. Después nos trasladaremos al santuario de elefantes para aprender sobre estos animales, y realizar diversas actividades incluso dándoles de comer y bañándolos, una experiencia inolvidable. Por la noche, podrán degustar de una</w:t>
      </w:r>
      <w:r>
        <w:rPr>
          <w:b w:val="1"/>
          <w:bCs w:val="1"/>
        </w:rPr>
        <w:t xml:space="preserve"> CENA KHANTOKE</w:t>
      </w:r>
      <w:r>
        <w:rPr/>
        <w:t xml:space="preserve">: el estilo tradicional de comer en el norte de Tailandia. Sentados en Mon Sam Lieung (colchonetas triangulares tradicionales tailandesas), la comida se servirá en mesas bajas mientras aprecian una selección de actuaciones culturales del norte incluyendo: el encantador Fon Lep (danza de uñas), Ram Dab (danza de espadas), Fon Thian (danza de velas), y Ram Wong (danza circular). También habrá un espectáculo especial realizado por varios miembros de Yao, Lahu, Meo, Lisu, Karen y más tribus montañeras. Traslado de regreso y </w:t>
      </w:r>
      <w:r>
        <w:rPr>
          <w:b w:val="1"/>
          <w:bCs w:val="1"/>
        </w:rPr>
        <w:t xml:space="preserve">alojamiento en hotel.</w:t>
      </w:r>
    </w:p>
    <w:p>
      <w:pPr/>
      <w:br/>
      <w:r>
        <w:rPr>
          <w:b w:val="1"/>
          <w:bCs w:val="1"/>
        </w:rPr>
        <w:t xml:space="preserve">DÍA 07 </w:t>
      </w:r>
      <w:br/>
      <w:r>
        <w:rPr>
          <w:b w:val="1"/>
          <w:bCs w:val="1"/>
        </w:rPr>
        <w:t xml:space="preserve">CHIANG MAI – PHUKET.</w:t>
      </w:r>
      <w:br/>
      <w:r>
        <w:rPr>
          <w:b w:val="1"/>
          <w:bCs w:val="1"/>
        </w:rPr>
        <w:t xml:space="preserve">DESAYUNO</w:t>
      </w:r>
      <w:r>
        <w:rPr/>
        <w:t xml:space="preserve">. Traslado al aeropuerto de Chiang Mai para conectar con el vuelo a Phuket. </w:t>
      </w:r>
      <w:r>
        <w:rPr>
          <w:b w:val="1"/>
          <w:bCs w:val="1"/>
        </w:rPr>
        <w:t xml:space="preserve">(BOLETO AEREO NO INCLUIDO) </w:t>
      </w:r>
      <w:r>
        <w:rPr/>
        <w:t xml:space="preserve">Llegada al aeropuerto de Phuket y traslado al hotel. Tiempo libre hasta el check-in en el hotel según disponibilidad Alojamiento</w:t>
      </w:r>
    </w:p>
    <w:p>
      <w:pPr/>
      <w:r>
        <w:rPr>
          <w:b w:val="1"/>
          <w:bCs w:val="1"/>
        </w:rPr>
        <w:t xml:space="preserve">DÍA 08</w:t>
      </w:r>
      <w:br/>
      <w:r>
        <w:rPr>
          <w:b w:val="1"/>
          <w:bCs w:val="1"/>
        </w:rPr>
        <w:t xml:space="preserve">PHUKET – ISLAS PHI PHI</w:t>
      </w:r>
      <w:br/>
      <w:r>
        <w:rPr>
          <w:b w:val="1"/>
          <w:bCs w:val="1"/>
        </w:rPr>
        <w:t xml:space="preserve">DESAYUNO</w:t>
      </w:r>
      <w:r>
        <w:rPr/>
        <w:t xml:space="preserve">. A la hora acordada traslado al muelle para embarcarse en una lancha rápida, para dirigirse a Koh Phi Phi, compuesta por dos islas. La más grande es Koh Phi Phi Don, y la más pequeña es Koh Phi Phi Leh, donde se rodó la película The Beach en la zona de Maya Bay una playa fascinante y pacífica. De regreso a Koh Phi Phi Don, descubrirá sus colinas pintorescas, acantilados impresionantes, playas largas de aguas esmeralda y vida marina colorida. Traslado de regreso al hotel. </w:t>
      </w:r>
      <w:r>
        <w:rPr>
          <w:b w:val="1"/>
          <w:bCs w:val="1"/>
        </w:rPr>
        <w:t xml:space="preserve">Alojamiento.</w:t>
      </w:r>
    </w:p>
    <w:p>
      <w:pPr/>
      <w:br/>
      <w:r>
        <w:rPr>
          <w:b w:val="1"/>
          <w:bCs w:val="1"/>
        </w:rPr>
        <w:t xml:space="preserve">DÍA 09 </w:t>
      </w:r>
      <w:br/>
      <w:r>
        <w:rPr>
          <w:b w:val="1"/>
          <w:bCs w:val="1"/>
        </w:rPr>
        <w:t xml:space="preserve">PHUKET</w:t>
      </w:r>
      <w:br/>
      <w:r>
        <w:rPr>
          <w:b w:val="1"/>
          <w:bCs w:val="1"/>
        </w:rPr>
        <w:t xml:space="preserve">DESAYUNO</w:t>
      </w:r>
      <w:r>
        <w:rPr/>
        <w:t xml:space="preserve">. Día libre, </w:t>
      </w:r>
      <w:r>
        <w:rPr>
          <w:b w:val="1"/>
          <w:bCs w:val="1"/>
        </w:rPr>
        <w:t xml:space="preserve">Alojamiento.</w:t>
      </w:r>
    </w:p>
    <w:p>
      <w:pPr/>
      <w:br/>
      <w:r>
        <w:rPr>
          <w:b w:val="1"/>
          <w:bCs w:val="1"/>
        </w:rPr>
        <w:t xml:space="preserve">DÍA 10</w:t>
      </w:r>
      <w:br/>
      <w:r>
        <w:rPr>
          <w:b w:val="1"/>
          <w:bCs w:val="1"/>
        </w:rPr>
        <w:t xml:space="preserve">PHUKET </w:t>
      </w:r>
      <w:br/>
      <w:r>
        <w:rPr>
          <w:b w:val="1"/>
          <w:bCs w:val="1"/>
        </w:rPr>
        <w:t xml:space="preserve">DESAYUNO</w:t>
      </w:r>
      <w:r>
        <w:rPr/>
        <w:t xml:space="preserve">. Mañana libre. A la hora indicada, traslado al aeropuerto para tomar el vuelo a su próximo destino.</w:t>
      </w:r>
      <w:r>
        <w:rPr>
          <w:b w:val="1"/>
          <w:bCs w:val="1"/>
        </w:rPr>
        <w:t xml:space="preserve"> FIN DE NUESTROS SERVICIOS</w:t>
      </w:r>
    </w:p>
    <w:p>
      <w:pPr/>
      <w:br/>
      <w:r>
        <w:rPr>
          <w:b w:val="1"/>
          <w:bCs w:val="1"/>
        </w:rPr>
        <w:t xml:space="preserve">NOTA IMPORTANTE</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gridSpan w:val="3"/>
            <w:noWrap/>
          </w:tcPr>
          <w:p>
            <w:pPr>
              <w:jc w:val="start"/>
              <w:spacing w:before="0" w:after="0"/>
            </w:pPr>
            <w:r>
              <w:rPr>
                <w:color w:val="ffffff"/>
                <w:sz w:val="21"/>
                <w:szCs w:val="21"/>
                <w:b w:val="1"/>
                <w:bCs w:val="1"/>
                <w:shd w:val="clear" w:fill="152441"/>
              </w:rPr>
              <w:t xml:space="preserve">01 ABRIL 2025 – 31 OCTUBRE 2025</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b w:val="1"/>
                <w:bCs w:val="1"/>
              </w:rPr>
              <w:t xml:space="preserve">STANDARD</w:t>
            </w:r>
          </w:p>
          <w:p>
            <w:pPr>
              <w:jc w:val="start"/>
              <w:spacing w:before="0" w:after="0"/>
            </w:pPr>
          </w:p>
        </w:tc>
        <w:tc>
          <w:tcPr>
            <w:tcW w:w="7800" w:type="dxa"/>
            <w:noWrap/>
          </w:tcPr>
          <w:p>
            <w:pPr>
              <w:jc w:val="start"/>
              <w:spacing w:before="0" w:after="0"/>
            </w:pPr>
            <w:r>
              <w:rPr/>
              <w:t xml:space="preserve">1.767</w:t>
            </w:r>
          </w:p>
          <w:p>
            <w:pPr>
              <w:jc w:val="start"/>
              <w:spacing w:before="0" w:after="0"/>
            </w:pPr>
          </w:p>
        </w:tc>
        <w:tc>
          <w:tcPr>
            <w:tcW w:w="7800" w:type="dxa"/>
            <w:noWrap/>
          </w:tcPr>
          <w:p>
            <w:pPr>
              <w:jc w:val="start"/>
              <w:spacing w:before="0" w:after="0"/>
            </w:pPr>
            <w:r>
              <w:rPr/>
              <w:t xml:space="preserve">1.327</w:t>
            </w:r>
          </w:p>
          <w:p>
            <w:pPr>
              <w:jc w:val="start"/>
              <w:spacing w:before="0" w:after="0"/>
            </w:pPr>
          </w:p>
        </w:tc>
      </w:tr>
      <w:tr>
        <w:trPr/>
        <w:tc>
          <w:tcPr>
            <w:tcW w:w="7800" w:type="dxa"/>
            <w:noWrap/>
          </w:tcPr>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t xml:space="preserve">2.113</w:t>
            </w:r>
          </w:p>
          <w:p>
            <w:pPr>
              <w:jc w:val="start"/>
              <w:spacing w:before="0" w:after="0"/>
            </w:pPr>
          </w:p>
        </w:tc>
        <w:tc>
          <w:tcPr>
            <w:tcW w:w="7800" w:type="dxa"/>
            <w:noWrap/>
          </w:tcPr>
          <w:p>
            <w:pPr>
              <w:jc w:val="start"/>
              <w:spacing w:before="0" w:after="0"/>
            </w:pPr>
            <w:r>
              <w:rPr/>
              <w:t xml:space="preserve">1.500</w:t>
            </w:r>
          </w:p>
          <w:p>
            <w:pPr>
              <w:jc w:val="start"/>
              <w:spacing w:before="0" w:after="0"/>
            </w:pPr>
          </w:p>
        </w:tc>
      </w:tr>
      <w:tr>
        <w:trPr/>
        <w:tc>
          <w:tcPr>
            <w:tcW w:w="7800" w:type="dxa"/>
            <w:noWrap/>
          </w:tcPr>
          <w:p>
            <w:pPr>
              <w:jc w:val="start"/>
              <w:spacing w:before="0" w:after="0"/>
            </w:pPr>
            <w:r>
              <w:rPr>
                <w:b w:val="1"/>
                <w:bCs w:val="1"/>
              </w:rPr>
              <w:t xml:space="preserve">DELUXE</w:t>
            </w:r>
          </w:p>
          <w:p>
            <w:pPr>
              <w:jc w:val="start"/>
              <w:spacing w:before="0" w:after="0"/>
            </w:pPr>
          </w:p>
        </w:tc>
        <w:tc>
          <w:tcPr>
            <w:tcW w:w="7800" w:type="dxa"/>
            <w:noWrap/>
          </w:tcPr>
          <w:p>
            <w:pPr>
              <w:jc w:val="start"/>
              <w:spacing w:before="0" w:after="0"/>
            </w:pPr>
            <w:r>
              <w:rPr/>
              <w:t xml:space="preserve">2.833</w:t>
            </w:r>
          </w:p>
          <w:p>
            <w:pPr>
              <w:jc w:val="start"/>
              <w:spacing w:before="0" w:after="0"/>
            </w:pPr>
          </w:p>
        </w:tc>
        <w:tc>
          <w:tcPr>
            <w:tcW w:w="7800" w:type="dxa"/>
            <w:noWrap/>
          </w:tcPr>
          <w:p>
            <w:pPr>
              <w:jc w:val="start"/>
              <w:spacing w:before="0" w:after="0"/>
            </w:pPr>
            <w:r>
              <w:rPr/>
              <w:t xml:space="preserve">1.840</w:t>
            </w:r>
          </w:p>
          <w:p>
            <w:pPr>
              <w:jc w:val="start"/>
              <w:spacing w:before="0" w:after="0"/>
            </w:pPr>
          </w:p>
        </w:tc>
      </w:tr>
      <w:tr>
        <w:trPr/>
        <w:tc>
          <w:tcPr>
            <w:tcW w:w="7800" w:type="dxa"/>
            <w:noWrap/>
          </w:tcPr>
          <w:p>
            <w:pPr>
              <w:jc w:val="start"/>
              <w:spacing w:before="0" w:after="0"/>
            </w:pPr>
            <w:r>
              <w:rPr>
                <w:b w:val="1"/>
                <w:bCs w:val="1"/>
              </w:rPr>
              <w:t xml:space="preserve">GOLD DELUXE</w:t>
            </w:r>
          </w:p>
          <w:p>
            <w:pPr>
              <w:jc w:val="start"/>
              <w:spacing w:before="0" w:after="0"/>
            </w:pPr>
          </w:p>
        </w:tc>
        <w:tc>
          <w:tcPr>
            <w:tcW w:w="7800" w:type="dxa"/>
            <w:noWrap/>
          </w:tcPr>
          <w:p>
            <w:pPr>
              <w:jc w:val="start"/>
              <w:spacing w:before="0" w:after="0"/>
            </w:pPr>
            <w:r>
              <w:rPr/>
              <w:t xml:space="preserve">3.580</w:t>
            </w:r>
          </w:p>
          <w:p>
            <w:pPr>
              <w:jc w:val="start"/>
              <w:spacing w:before="0" w:after="0"/>
            </w:pPr>
          </w:p>
        </w:tc>
        <w:tc>
          <w:tcPr>
            <w:tcW w:w="7800" w:type="dxa"/>
            <w:noWrap/>
          </w:tcPr>
          <w:p>
            <w:pPr>
              <w:jc w:val="start"/>
              <w:spacing w:before="0" w:after="0"/>
            </w:pPr>
            <w:r>
              <w:rPr/>
              <w:t xml:space="preserve">2.353</w:t>
            </w:r>
          </w:p>
          <w:p>
            <w:pPr>
              <w:jc w:val="start"/>
              <w:spacing w:before="0" w:after="0"/>
            </w:pPr>
          </w:p>
        </w:tc>
      </w:tr>
    </w:tbl>
    <w:p>
      <w:pPr>
        <w:spacing w:before="0" w:after="0"/>
      </w:pPr>
      <w:r>
        <w:rPr>
          <w:b w:val="1"/>
          <w:bCs w:val="1"/>
        </w:rPr>
        <w:t xml:space="preserve">NO INCLUYE: 2% de fee bancario</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t xml:space="preserve">11 NOVIEMBRE AL 19 DICIMEBRE 2025</w:t>
            </w:r>
          </w:p>
          <w:p>
            <w:pPr>
              <w:jc w:val="start"/>
              <w:spacing w:before="0" w:after="0"/>
            </w:pPr>
          </w:p>
          <w:p>
            <w:pPr>
              <w:jc w:val="start"/>
            </w:pPr>
            <w:r>
              <w:rPr/>
              <w:t xml:space="preserve"> </w:t>
            </w:r>
          </w:p>
          <w:p/>
          <w:p>
            <w:pPr>
              <w:jc w:val="start"/>
            </w:pPr>
            <w:r>
              <w:rPr/>
              <w:t xml:space="preserve">11 ENERO AL 31 MARZO 2026</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b w:val="1"/>
                <w:bCs w:val="1"/>
              </w:rPr>
              <w:t xml:space="preserve">STANDARD</w:t>
            </w:r>
          </w:p>
          <w:p>
            <w:pPr>
              <w:jc w:val="start"/>
              <w:spacing w:before="0" w:after="0"/>
            </w:pPr>
          </w:p>
        </w:tc>
        <w:tc>
          <w:tcPr>
            <w:tcW w:w="7800" w:type="dxa"/>
            <w:noWrap/>
          </w:tcPr>
          <w:p>
            <w:pPr>
              <w:jc w:val="start"/>
              <w:spacing w:before="0" w:after="0"/>
            </w:pPr>
            <w:r>
              <w:rPr/>
              <w:t xml:space="preserve">3.040</w:t>
            </w:r>
          </w:p>
          <w:p>
            <w:pPr>
              <w:jc w:val="start"/>
              <w:spacing w:before="0" w:after="0"/>
            </w:pPr>
          </w:p>
        </w:tc>
        <w:tc>
          <w:tcPr>
            <w:tcW w:w="7800" w:type="dxa"/>
            <w:noWrap/>
          </w:tcPr>
          <w:p>
            <w:pPr>
              <w:jc w:val="start"/>
              <w:spacing w:before="0" w:after="0"/>
            </w:pPr>
            <w:r>
              <w:rPr/>
              <w:t xml:space="preserve">2.347</w:t>
            </w:r>
          </w:p>
          <w:p>
            <w:pPr>
              <w:jc w:val="start"/>
              <w:spacing w:before="0" w:after="0"/>
            </w:pPr>
          </w:p>
        </w:tc>
      </w:tr>
      <w:tr>
        <w:trPr/>
        <w:tc>
          <w:tcPr>
            <w:tcW w:w="7800" w:type="dxa"/>
            <w:noWrap/>
          </w:tcPr>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t xml:space="preserve">3.989</w:t>
            </w:r>
          </w:p>
          <w:p>
            <w:pPr>
              <w:jc w:val="start"/>
              <w:spacing w:before="0" w:after="0"/>
            </w:pPr>
          </w:p>
        </w:tc>
        <w:tc>
          <w:tcPr>
            <w:tcW w:w="7800" w:type="dxa"/>
            <w:noWrap/>
          </w:tcPr>
          <w:p>
            <w:pPr>
              <w:jc w:val="start"/>
              <w:spacing w:before="0" w:after="0"/>
            </w:pPr>
            <w:r>
              <w:rPr/>
              <w:t xml:space="preserve">2.829</w:t>
            </w:r>
          </w:p>
          <w:p>
            <w:pPr>
              <w:jc w:val="start"/>
              <w:spacing w:before="0" w:after="0"/>
            </w:pPr>
          </w:p>
        </w:tc>
      </w:tr>
      <w:tr>
        <w:trPr/>
        <w:tc>
          <w:tcPr>
            <w:tcW w:w="7800" w:type="dxa"/>
            <w:noWrap/>
          </w:tcPr>
          <w:p>
            <w:pPr>
              <w:jc w:val="start"/>
              <w:spacing w:before="0" w:after="0"/>
            </w:pPr>
            <w:r>
              <w:rPr>
                <w:b w:val="1"/>
                <w:bCs w:val="1"/>
              </w:rPr>
              <w:t xml:space="preserve">DELUXE</w:t>
            </w:r>
          </w:p>
          <w:p>
            <w:pPr>
              <w:jc w:val="start"/>
              <w:spacing w:before="0" w:after="0"/>
            </w:pPr>
          </w:p>
        </w:tc>
        <w:tc>
          <w:tcPr>
            <w:tcW w:w="7800" w:type="dxa"/>
            <w:noWrap/>
          </w:tcPr>
          <w:p>
            <w:pPr>
              <w:jc w:val="start"/>
              <w:spacing w:before="0" w:after="0"/>
            </w:pPr>
            <w:r>
              <w:rPr/>
              <w:t xml:space="preserve">4.453</w:t>
            </w:r>
          </w:p>
          <w:p>
            <w:pPr>
              <w:jc w:val="start"/>
              <w:spacing w:before="0" w:after="0"/>
            </w:pPr>
          </w:p>
        </w:tc>
        <w:tc>
          <w:tcPr>
            <w:tcW w:w="7800" w:type="dxa"/>
            <w:noWrap/>
          </w:tcPr>
          <w:p>
            <w:pPr>
              <w:jc w:val="start"/>
              <w:spacing w:before="0" w:after="0"/>
            </w:pPr>
            <w:r>
              <w:rPr/>
              <w:t xml:space="preserve">3.107</w:t>
            </w:r>
          </w:p>
          <w:p>
            <w:pPr>
              <w:jc w:val="start"/>
              <w:spacing w:before="0" w:after="0"/>
            </w:pPr>
          </w:p>
        </w:tc>
      </w:tr>
      <w:tr>
        <w:trPr/>
        <w:tc>
          <w:tcPr>
            <w:tcW w:w="7800" w:type="dxa"/>
            <w:noWrap/>
          </w:tcPr>
          <w:p>
            <w:pPr>
              <w:jc w:val="start"/>
              <w:spacing w:before="0" w:after="0"/>
            </w:pPr>
            <w:r>
              <w:rPr>
                <w:b w:val="1"/>
                <w:bCs w:val="1"/>
              </w:rPr>
              <w:t xml:space="preserve">GOLD DELUXE</w:t>
            </w:r>
          </w:p>
          <w:p>
            <w:pPr>
              <w:jc w:val="start"/>
              <w:spacing w:before="0" w:after="0"/>
            </w:pPr>
          </w:p>
        </w:tc>
        <w:tc>
          <w:tcPr>
            <w:tcW w:w="7800" w:type="dxa"/>
            <w:noWrap/>
          </w:tcPr>
          <w:p>
            <w:pPr>
              <w:jc w:val="start"/>
              <w:spacing w:before="0" w:after="0"/>
            </w:pPr>
            <w:r>
              <w:rPr/>
              <w:t xml:space="preserve">5.467</w:t>
            </w:r>
          </w:p>
          <w:p>
            <w:pPr>
              <w:jc w:val="start"/>
              <w:spacing w:before="0" w:after="0"/>
            </w:pPr>
          </w:p>
        </w:tc>
        <w:tc>
          <w:tcPr>
            <w:tcW w:w="7800" w:type="dxa"/>
            <w:noWrap/>
          </w:tcPr>
          <w:p>
            <w:pPr>
              <w:jc w:val="start"/>
              <w:spacing w:before="0" w:after="0"/>
            </w:pPr>
            <w:r>
              <w:rPr/>
              <w:t xml:space="preserve">3.700</w:t>
            </w:r>
          </w:p>
          <w:p>
            <w:pPr>
              <w:jc w:val="start"/>
              <w:spacing w:before="0" w:after="0"/>
            </w:pPr>
          </w:p>
        </w:tc>
      </w:tr>
    </w:tbl>
    <w:p>
      <w:pPr>
        <w:spacing w:before="0" w:after="0"/>
      </w:pPr>
      <w:r>
        <w:rPr>
          <w:b w:val="1"/>
          <w:bCs w:val="1"/>
        </w:rPr>
        <w:t xml:space="preserve">NO INCLUYE: 2% de fee bancario</w:t>
      </w:r>
      <w:br/>
      <w:br/>
      <w:r>
        <w:rPr>
          <w:b w:val="1"/>
          <w:bCs w:val="1"/>
        </w:rPr>
        <w:t xml:space="preserve">PRECIOS REFERENCIALES POR PERSONA EN DÓLARES AMERICANOS</w:t>
      </w:r>
      <w:br/>
      <w:r>
        <w:rPr>
          <w:b w:val="1"/>
          <w:bCs w:val="1"/>
        </w:rPr>
        <w:t xml:space="preserve">Sujetos a cambios sin previo aviso y disponibilidad al momento de la reserva</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3"/>
            <w:noWrap/>
          </w:tcPr>
          <w:p>
            <w:pPr>
              <w:jc w:val="start"/>
              <w:spacing w:before="0" w:after="0"/>
            </w:pPr>
            <w:r>
              <w:rPr>
                <w:b w:val="1"/>
                <w:bCs w:val="1"/>
              </w:rPr>
              <w:t xml:space="preserve">20 -DICEMBRE 2025 - 10 ENERO 2026</w:t>
            </w:r>
          </w:p>
          <w:p>
            <w:pPr>
              <w:jc w:val="start"/>
              <w:spacing w:before="0" w:after="0"/>
            </w:pPr>
          </w:p>
        </w:tc>
      </w:tr>
      <w:tr>
        <w:trPr/>
        <w:tc>
          <w:tcPr>
            <w:tcW w:w="7800" w:type="dxa"/>
            <w:noWrap/>
          </w:tcPr>
          <w:p>
            <w:pPr>
              <w:jc w:val="start"/>
              <w:spacing w:before="0" w:after="0"/>
            </w:pPr>
            <w:r>
              <w:rPr>
                <w:b w:val="1"/>
                <w:bCs w:val="1"/>
              </w:rPr>
              <w:t xml:space="preserve">CATEGORIA</w:t>
            </w:r>
          </w:p>
          <w:p>
            <w:pPr>
              <w:jc w:val="start"/>
              <w:spacing w:before="0" w:after="0"/>
            </w:pPr>
          </w:p>
        </w:tc>
        <w:tc>
          <w:tcPr>
            <w:tcW w:w="7800" w:type="dxa"/>
            <w:noWrap/>
          </w:tcPr>
          <w:p>
            <w:pPr>
              <w:jc w:val="start"/>
              <w:spacing w:before="0" w:after="0"/>
            </w:pPr>
            <w:r>
              <w:rPr>
                <w:b w:val="1"/>
                <w:bCs w:val="1"/>
              </w:rPr>
              <w:t xml:space="preserve">SENCILLA</w:t>
            </w:r>
          </w:p>
          <w:p>
            <w:pPr>
              <w:jc w:val="start"/>
              <w:spacing w:before="0" w:after="0"/>
            </w:pPr>
          </w:p>
        </w:tc>
        <w:tc>
          <w:tcPr>
            <w:tcW w:w="7800" w:type="dxa"/>
            <w:noWrap/>
          </w:tcPr>
          <w:p>
            <w:pPr>
              <w:jc w:val="start"/>
              <w:spacing w:before="0" w:after="0"/>
            </w:pPr>
            <w:r>
              <w:rPr>
                <w:b w:val="1"/>
                <w:bCs w:val="1"/>
              </w:rPr>
              <w:t xml:space="preserve">DOBLE</w:t>
            </w:r>
          </w:p>
          <w:p>
            <w:pPr>
              <w:jc w:val="start"/>
              <w:spacing w:before="0" w:after="0"/>
            </w:pPr>
          </w:p>
        </w:tc>
      </w:tr>
      <w:tr>
        <w:trPr/>
        <w:tc>
          <w:tcPr>
            <w:tcW w:w="7800" w:type="dxa"/>
            <w:noWrap/>
          </w:tcPr>
          <w:p>
            <w:pPr>
              <w:jc w:val="start"/>
              <w:spacing w:before="0" w:after="0"/>
            </w:pPr>
            <w:r>
              <w:rPr>
                <w:b w:val="1"/>
                <w:bCs w:val="1"/>
              </w:rPr>
              <w:t xml:space="preserve">STANDARD</w:t>
            </w:r>
          </w:p>
          <w:p>
            <w:pPr>
              <w:jc w:val="start"/>
              <w:spacing w:before="0" w:after="0"/>
            </w:pPr>
          </w:p>
        </w:tc>
        <w:tc>
          <w:tcPr>
            <w:tcW w:w="7800" w:type="dxa"/>
            <w:noWrap/>
          </w:tcPr>
          <w:p>
            <w:pPr>
              <w:jc w:val="start"/>
              <w:spacing w:before="0" w:after="0"/>
            </w:pPr>
            <w:r>
              <w:rPr/>
              <w:t xml:space="preserve">3.413</w:t>
            </w:r>
          </w:p>
          <w:p>
            <w:pPr>
              <w:jc w:val="start"/>
              <w:spacing w:before="0" w:after="0"/>
            </w:pPr>
          </w:p>
        </w:tc>
        <w:tc>
          <w:tcPr>
            <w:tcW w:w="7800" w:type="dxa"/>
            <w:noWrap/>
          </w:tcPr>
          <w:p>
            <w:pPr>
              <w:jc w:val="start"/>
              <w:spacing w:before="0" w:after="0"/>
            </w:pPr>
            <w:r>
              <w:rPr/>
              <w:t xml:space="preserve">2.533</w:t>
            </w:r>
          </w:p>
          <w:p>
            <w:pPr>
              <w:jc w:val="start"/>
              <w:spacing w:before="0" w:after="0"/>
            </w:pPr>
          </w:p>
        </w:tc>
      </w:tr>
      <w:tr>
        <w:trPr/>
        <w:tc>
          <w:tcPr>
            <w:tcW w:w="7800" w:type="dxa"/>
            <w:noWrap/>
          </w:tcPr>
          <w:p>
            <w:pPr>
              <w:jc w:val="start"/>
              <w:spacing w:before="0" w:after="0"/>
            </w:pPr>
            <w:r>
              <w:rPr>
                <w:b w:val="1"/>
                <w:bCs w:val="1"/>
              </w:rPr>
              <w:t xml:space="preserve">SUPERIOR</w:t>
            </w:r>
          </w:p>
          <w:p>
            <w:pPr>
              <w:jc w:val="start"/>
              <w:spacing w:before="0" w:after="0"/>
            </w:pPr>
          </w:p>
        </w:tc>
        <w:tc>
          <w:tcPr>
            <w:tcW w:w="7800" w:type="dxa"/>
            <w:noWrap/>
          </w:tcPr>
          <w:p>
            <w:pPr>
              <w:jc w:val="start"/>
              <w:spacing w:before="0" w:after="0"/>
            </w:pPr>
            <w:r>
              <w:rPr/>
              <w:t xml:space="preserve">4.833</w:t>
            </w:r>
          </w:p>
          <w:p>
            <w:pPr>
              <w:jc w:val="start"/>
              <w:spacing w:before="0" w:after="0"/>
            </w:pPr>
          </w:p>
        </w:tc>
        <w:tc>
          <w:tcPr>
            <w:tcW w:w="7800" w:type="dxa"/>
            <w:noWrap/>
          </w:tcPr>
          <w:p>
            <w:pPr>
              <w:jc w:val="start"/>
              <w:spacing w:before="0" w:after="0"/>
            </w:pPr>
            <w:r>
              <w:rPr/>
              <w:t xml:space="preserve">3.333</w:t>
            </w:r>
          </w:p>
          <w:p>
            <w:pPr>
              <w:jc w:val="start"/>
              <w:spacing w:before="0" w:after="0"/>
            </w:pPr>
          </w:p>
        </w:tc>
      </w:tr>
      <w:tr>
        <w:trPr/>
        <w:tc>
          <w:tcPr>
            <w:tcW w:w="7800" w:type="dxa"/>
            <w:noWrap/>
          </w:tcPr>
          <w:p>
            <w:pPr>
              <w:jc w:val="start"/>
              <w:spacing w:before="0" w:after="0"/>
            </w:pPr>
            <w:r>
              <w:rPr>
                <w:b w:val="1"/>
                <w:bCs w:val="1"/>
              </w:rPr>
              <w:t xml:space="preserve">DELUXE</w:t>
            </w:r>
          </w:p>
          <w:p>
            <w:pPr>
              <w:jc w:val="start"/>
              <w:spacing w:before="0" w:after="0"/>
            </w:pPr>
          </w:p>
        </w:tc>
        <w:tc>
          <w:tcPr>
            <w:tcW w:w="7800" w:type="dxa"/>
            <w:noWrap/>
          </w:tcPr>
          <w:p>
            <w:pPr>
              <w:jc w:val="start"/>
              <w:spacing w:before="0" w:after="0"/>
            </w:pPr>
            <w:r>
              <w:rPr/>
              <w:t xml:space="preserve">5.900</w:t>
            </w:r>
          </w:p>
          <w:p>
            <w:pPr>
              <w:jc w:val="start"/>
              <w:spacing w:before="0" w:after="0"/>
            </w:pPr>
          </w:p>
        </w:tc>
        <w:tc>
          <w:tcPr>
            <w:tcW w:w="7800" w:type="dxa"/>
            <w:noWrap/>
          </w:tcPr>
          <w:p>
            <w:pPr>
              <w:jc w:val="start"/>
              <w:spacing w:before="0" w:after="0"/>
            </w:pPr>
            <w:r>
              <w:rPr/>
              <w:t xml:space="preserve">3.913</w:t>
            </w:r>
          </w:p>
          <w:p>
            <w:pPr>
              <w:jc w:val="start"/>
              <w:spacing w:before="0" w:after="0"/>
            </w:pPr>
          </w:p>
        </w:tc>
      </w:tr>
      <w:tr>
        <w:trPr/>
        <w:tc>
          <w:tcPr>
            <w:tcW w:w="7800" w:type="dxa"/>
            <w:noWrap/>
          </w:tcPr>
          <w:p>
            <w:pPr>
              <w:jc w:val="start"/>
              <w:spacing w:before="0" w:after="0"/>
            </w:pPr>
            <w:r>
              <w:rPr>
                <w:b w:val="1"/>
                <w:bCs w:val="1"/>
              </w:rPr>
              <w:t xml:space="preserve">GOLD DELUXE</w:t>
            </w:r>
          </w:p>
          <w:p>
            <w:pPr>
              <w:jc w:val="start"/>
              <w:spacing w:before="0" w:after="0"/>
            </w:pPr>
          </w:p>
        </w:tc>
        <w:tc>
          <w:tcPr>
            <w:tcW w:w="7800" w:type="dxa"/>
            <w:noWrap/>
          </w:tcPr>
          <w:p>
            <w:pPr>
              <w:jc w:val="start"/>
              <w:spacing w:before="0" w:after="0"/>
            </w:pPr>
            <w:r>
              <w:rPr/>
              <w:t xml:space="preserve">10.060</w:t>
            </w:r>
          </w:p>
          <w:p>
            <w:pPr>
              <w:jc w:val="start"/>
              <w:spacing w:before="0" w:after="0"/>
            </w:pPr>
          </w:p>
        </w:tc>
        <w:tc>
          <w:tcPr>
            <w:tcW w:w="7800" w:type="dxa"/>
            <w:noWrap/>
          </w:tcPr>
          <w:p>
            <w:pPr>
              <w:jc w:val="start"/>
              <w:spacing w:before="0" w:after="0"/>
            </w:pPr>
            <w:r>
              <w:rPr/>
              <w:t xml:space="preserve">6.053</w:t>
            </w:r>
          </w:p>
          <w:p>
            <w:pPr>
              <w:jc w:val="start"/>
              <w:spacing w:before="0" w:after="0"/>
            </w:pPr>
          </w:p>
        </w:tc>
      </w:tr>
    </w:tbl>
    <w:p>
      <w:pPr>
        <w:spacing w:before="0" w:after="0"/>
      </w:pPr>
      <w:r>
        <w:rPr>
          <w:b w:val="1"/>
          <w:bCs w:val="1"/>
        </w:rPr>
        <w:t xml:space="preserve">NO INCLUYE: 2% de fee bancario</w:t>
      </w:r>
      <w:br/>
      <w:br/>
      <w:r>
        <w:rPr>
          <w:b w:val="1"/>
          <w:bCs w:val="1"/>
        </w:rPr>
        <w:t xml:space="preserve">NOTA: </w:t>
      </w:r>
      <w:r>
        <w:rPr/>
        <w:t xml:space="preserve">Los precios publicados en dólares (USD) son referenciales y el pago deberá realizarse en pesos colombianos </w:t>
      </w:r>
      <w:r>
        <w:rPr>
          <w:b w:val="1"/>
          <w:bCs w:val="1"/>
        </w:rPr>
        <w:t xml:space="preserve">(COP) </w:t>
      </w:r>
      <w:r>
        <w:rPr/>
        <w:t xml:space="preserve">a la tasa de cambio interna que haya sido fijada por </w:t>
      </w:r>
      <w:r>
        <w:rPr>
          <w:b w:val="1"/>
          <w:bCs w:val="1"/>
        </w:rPr>
        <w:t xml:space="preserve">MEGA TRAVEL SAS</w:t>
      </w:r>
      <w:r>
        <w:rPr/>
        <w:t xml:space="preserve"> o a la tasa de cambio oficial </w:t>
      </w:r>
      <w:r>
        <w:rPr>
          <w:b w:val="1"/>
          <w:bCs w:val="1"/>
        </w:rPr>
        <w:t xml:space="preserve">TRM</w:t>
      </w:r>
      <w:r>
        <w:rPr/>
        <w:t xml:space="preserve"> vigente al momento de la compra.</w:t>
      </w:r>
      <w:br/>
      <w:br/>
      <w:r>
        <w:rPr>
          <w:b w:val="1"/>
          <w:bCs w:val="1"/>
        </w:rPr>
        <w:t xml:space="preserve">POLITICA NIÑOS:</w:t>
      </w:r>
    </w:p>
    <w:p>
      <w:pPr>
        <w:spacing w:before="0" w:after="0"/>
      </w:pPr>
      <w:r>
        <w:rPr/>
        <w:t xml:space="preserve">•    Niños de 1-2 años: Gratuidad en el caso de compartir habitación con sus padres.</w:t>
      </w:r>
      <w:br/>
      <w:r>
        <w:rPr/>
        <w:t xml:space="preserve">•    Niños de 2-12 años: 75% de cargo del coste de un adulto si se usa una cama extra en la habitación de sus padres. </w:t>
      </w:r>
      <w:br/>
      <w:r>
        <w:rPr/>
        <w:t xml:space="preserve">•    Niños de más de 12 años: Cargo como precio de adulto</w:t>
      </w:r>
    </w:p>
    <w:p>
      <w:pPr>
        <w:spacing w:before="0" w:after="0"/>
      </w:pPr>
      <w:r>
        <w:rPr>
          <w:b w:val="1"/>
          <w:bCs w:val="1"/>
        </w:rPr>
        <w:t xml:space="preserve">VISITAS Y EXCURSIONES</w:t>
      </w:r>
    </w:p>
    <w:p>
      <w:pPr>
        <w:spacing w:before="0" w:after="0"/>
      </w:pPr>
      <w:r>
        <w:rPr/>
        <w:t xml:space="preserve">•    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br/>
      <w:r>
        <w:rPr/>
        <w:t xml:space="preserve">•    No nos haremos responsables por los servicios contratados en otras empresas.</w:t>
      </w:r>
    </w:p>
    <w:p>
      <w:pPr>
        <w:spacing w:before="0" w:after="0"/>
      </w:pPr>
      <w:r>
        <w:rPr>
          <w:b w:val="1"/>
          <w:bCs w:val="1"/>
        </w:rPr>
        <w:t xml:space="preserve">OPCIONALES: </w:t>
      </w:r>
      <w:br/>
      <w:r>
        <w:rPr/>
        <w:t xml:space="preserve">•    Para visita a un campamento tradicional al lugar del santuario de elefantes.  (No incluye montar en el elefante)</w:t>
      </w:r>
      <w:br/>
      <w:r>
        <w:rPr/>
        <w:t xml:space="preserve">•    Posibilidad de añadir noches adicionales en Bangkok y Phuket.</w:t>
      </w:r>
      <w:br/>
      <w:r>
        <w:rPr/>
        <w:t xml:space="preserve">•    Vuelo doméstico Bangkok – Chiang Rai.</w:t>
      </w:r>
      <w:br/>
      <w:r>
        <w:rPr/>
        <w:t xml:space="preserve">•    Vuelo doméstico Chiang Mai – Phuket.</w:t>
      </w:r>
      <w:br/>
      <w:r>
        <w:rPr/>
        <w:t xml:space="preserve"> </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STÁNDAR</w:t>
            </w:r>
          </w:p>
          <w:p>
            <w:pPr>
              <w:jc w:val="start"/>
              <w:spacing w:before="0" w:after="0"/>
            </w:pPr>
          </w:p>
        </w:tc>
        <w:tc>
          <w:tcPr>
            <w:tcW w:w="7800" w:type="dxa"/>
            <w:shd w:val="clear" w:fill="152441"/>
            <w:gridSpan w:val="2"/>
            <w:noWrap/>
          </w:tcPr>
          <w:p>
            <w:pPr>
              <w:jc w:val="start"/>
              <w:spacing w:before="0" w:after="0"/>
            </w:pPr>
            <w:r>
              <w:rPr>
                <w:color w:val="ffffff"/>
                <w:sz w:val="21"/>
                <w:szCs w:val="21"/>
                <w:b w:val="1"/>
                <w:bCs w:val="1"/>
                <w:shd w:val="clear" w:fill="152441"/>
              </w:rPr>
              <w:t xml:space="preserve">SUPERIOR</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DELUXE</w:t>
            </w:r>
          </w:p>
          <w:p>
            <w:pPr>
              <w:jc w:val="start"/>
              <w:spacing w:before="0" w:after="0"/>
            </w:pPr>
          </w:p>
        </w:tc>
        <w:tc>
          <w:tcPr>
            <w:tcW w:w="7800" w:type="dxa"/>
            <w:shd w:val="clear" w:fill="152441"/>
            <w:noWrap/>
          </w:tcPr>
          <w:p>
            <w:pPr>
              <w:jc w:val="start"/>
              <w:spacing w:before="0" w:after="0"/>
            </w:pPr>
            <w:r>
              <w:rPr>
                <w:color w:val="ffffff"/>
                <w:sz w:val="21"/>
                <w:szCs w:val="21"/>
                <w:b w:val="1"/>
                <w:bCs w:val="1"/>
                <w:shd w:val="clear" w:fill="152441"/>
              </w:rPr>
              <w:t xml:space="preserve">GOLD DELUXE</w:t>
            </w:r>
          </w:p>
          <w:p>
            <w:pPr>
              <w:jc w:val="start"/>
              <w:spacing w:before="0" w:after="0"/>
            </w:pPr>
          </w:p>
        </w:tc>
      </w:tr>
      <w:tr>
        <w:trPr/>
        <w:tc>
          <w:tcPr>
            <w:tcW w:w="7800" w:type="dxa"/>
            <w:noWrap/>
          </w:tcPr>
          <w:p>
            <w:pPr>
              <w:jc w:val="start"/>
              <w:spacing w:before="0" w:after="0"/>
            </w:pPr>
            <w:r>
              <w:rPr>
                <w:b w:val="1"/>
                <w:bCs w:val="1"/>
              </w:rPr>
              <w:t xml:space="preserve">BANGKOK</w:t>
            </w:r>
          </w:p>
          <w:p>
            <w:pPr>
              <w:jc w:val="start"/>
              <w:spacing w:before="0" w:after="0"/>
            </w:pPr>
          </w:p>
        </w:tc>
        <w:tc>
          <w:tcPr>
            <w:tcW w:w="7800" w:type="dxa"/>
            <w:gridSpan w:val="3"/>
            <w:noWrap/>
          </w:tcPr>
          <w:p>
            <w:pPr>
              <w:jc w:val="start"/>
              <w:spacing w:before="0" w:after="0"/>
            </w:pPr>
            <w:hyperlink r:id="rId9" w:history="1">
              <w:r>
                <w:rPr/>
                <w:t xml:space="preserve">MANDARIN HOTEL BY CENTRE POINT</w:t>
              </w:r>
            </w:hyperlink>
          </w:p>
          <w:p>
            <w:pPr>
              <w:jc w:val="start"/>
              <w:spacing w:before="0" w:after="0"/>
            </w:pPr>
          </w:p>
          <w:p>
            <w:pPr>
              <w:jc w:val="start"/>
              <w:spacing w:before="0" w:after="0"/>
            </w:pPr>
            <w:hyperlink r:id="rId10" w:history="1">
              <w:r>
                <w:rPr/>
                <w:t xml:space="preserve">BEST WESTERN CLICK SATHORN 11</w:t>
              </w:r>
            </w:hyperlink>
          </w:p>
          <w:p>
            <w:pPr>
              <w:jc w:val="start"/>
              <w:spacing w:before="0" w:after="0"/>
            </w:pPr>
          </w:p>
          <w:p>
            <w:pPr>
              <w:jc w:val="start"/>
              <w:spacing w:before="0" w:after="0"/>
            </w:pPr>
            <w:hyperlink r:id="rId11" w:history="1">
              <w:r>
                <w:rPr/>
                <w:t xml:space="preserve">HILTON GARDEN INN BANGKOK SILOM</w:t>
              </w:r>
            </w:hyperlink>
          </w:p>
          <w:p>
            <w:pPr>
              <w:jc w:val="start"/>
              <w:spacing w:before="0" w:after="0"/>
            </w:pPr>
          </w:p>
          <w:p>
            <w:pPr>
              <w:jc w:val="start"/>
              <w:spacing w:before="0" w:after="0"/>
            </w:pPr>
            <w:hyperlink r:id="rId12" w:history="1">
              <w:r>
                <w:rPr/>
                <w:t xml:space="preserve">JC KEVIN SATHORN BANGKOK HOTEL</w:t>
              </w:r>
            </w:hyperlink>
          </w:p>
          <w:p>
            <w:pPr>
              <w:jc w:val="start"/>
              <w:spacing w:before="0" w:after="0"/>
            </w:pPr>
          </w:p>
        </w:tc>
        <w:tc>
          <w:tcPr>
            <w:tcW w:w="7800" w:type="dxa"/>
            <w:noWrap/>
          </w:tcPr>
          <w:p>
            <w:pPr>
              <w:jc w:val="start"/>
              <w:spacing w:before="0" w:after="0"/>
            </w:pPr>
            <w:hyperlink r:id="rId13" w:history="1">
              <w:r>
                <w:rPr/>
                <w:t xml:space="preserve">MONTIEN SURAWONG</w:t>
              </w:r>
            </w:hyperlink>
          </w:p>
          <w:p>
            <w:pPr>
              <w:jc w:val="start"/>
              <w:spacing w:before="0" w:after="0"/>
            </w:pPr>
          </w:p>
          <w:p>
            <w:pPr>
              <w:jc w:val="start"/>
              <w:spacing w:before="0" w:after="0"/>
            </w:pPr>
            <w:hyperlink r:id="rId14" w:history="1">
              <w:r>
                <w:rPr/>
                <w:t xml:space="preserve">PULLMAN BANGKOK HOTEL G</w:t>
              </w:r>
            </w:hyperlink>
          </w:p>
          <w:p>
            <w:pPr>
              <w:jc w:val="start"/>
              <w:spacing w:before="0" w:after="0"/>
            </w:pPr>
          </w:p>
          <w:p>
            <w:pPr>
              <w:jc w:val="start"/>
              <w:spacing w:before="0" w:after="0"/>
            </w:pPr>
          </w:p>
          <w:p>
            <w:pPr>
              <w:jc w:val="start"/>
              <w:spacing w:before="0" w:after="0"/>
            </w:pPr>
          </w:p>
        </w:tc>
        <w:tc>
          <w:tcPr>
            <w:tcW w:w="7800" w:type="dxa"/>
            <w:noWrap/>
          </w:tcPr>
          <w:p>
            <w:pPr>
              <w:jc w:val="start"/>
              <w:spacing w:before="0" w:after="0"/>
            </w:pPr>
            <w:hyperlink r:id="rId15" w:history="1">
              <w:r>
                <w:rPr/>
                <w:t xml:space="preserve">SO BANGKOK</w:t>
              </w:r>
            </w:hyperlink>
          </w:p>
          <w:p>
            <w:pPr>
              <w:jc w:val="start"/>
              <w:spacing w:before="0" w:after="0"/>
            </w:pPr>
          </w:p>
        </w:tc>
      </w:tr>
      <w:tr>
        <w:trPr/>
        <w:tc>
          <w:tcPr>
            <w:tcW w:w="7800" w:type="dxa"/>
            <w:noWrap/>
          </w:tcPr>
          <w:p>
            <w:pPr>
              <w:jc w:val="start"/>
              <w:spacing w:before="0" w:after="0"/>
            </w:pPr>
            <w:r>
              <w:rPr>
                <w:b w:val="1"/>
                <w:bCs w:val="1"/>
              </w:rPr>
              <w:t xml:space="preserve">CHIANG RAI</w:t>
            </w:r>
          </w:p>
          <w:p>
            <w:pPr>
              <w:jc w:val="start"/>
              <w:spacing w:before="0" w:after="0"/>
            </w:pPr>
          </w:p>
        </w:tc>
        <w:tc>
          <w:tcPr>
            <w:tcW w:w="7800" w:type="dxa"/>
            <w:gridSpan w:val="2"/>
            <w:noWrap/>
          </w:tcPr>
          <w:p>
            <w:pPr>
              <w:jc w:val="start"/>
              <w:spacing w:before="0" w:after="0"/>
            </w:pPr>
            <w:hyperlink r:id="rId16" w:history="1">
              <w:r>
                <w:rPr/>
                <w:t xml:space="preserve">LALUNA HOTEL  RESORT</w:t>
              </w:r>
            </w:hyperlink>
          </w:p>
          <w:p>
            <w:pPr>
              <w:jc w:val="start"/>
              <w:spacing w:before="0" w:after="0"/>
            </w:pPr>
          </w:p>
          <w:p>
            <w:pPr>
              <w:jc w:val="start"/>
              <w:spacing w:before="0" w:after="0"/>
            </w:pPr>
            <w:r>
              <w:rPr/>
              <w:t xml:space="preserve">WIANG INN HOTEL</w:t>
            </w:r>
          </w:p>
          <w:p>
            <w:pPr>
              <w:jc w:val="start"/>
              <w:spacing w:before="0" w:after="0"/>
            </w:pPr>
          </w:p>
        </w:tc>
        <w:tc>
          <w:tcPr>
            <w:tcW w:w="7800" w:type="dxa"/>
            <w:noWrap/>
          </w:tcPr>
          <w:p>
            <w:pPr>
              <w:jc w:val="start"/>
              <w:spacing w:before="0" w:after="0"/>
            </w:pPr>
            <w:hyperlink r:id="rId17" w:history="1">
              <w:r>
                <w:rPr/>
                <w:t xml:space="preserve">LEGEND</w:t>
              </w:r>
            </w:hyperlink>
          </w:p>
          <w:p>
            <w:pPr>
              <w:jc w:val="start"/>
              <w:spacing w:before="0" w:after="0"/>
            </w:pPr>
          </w:p>
          <w:p>
            <w:pPr>
              <w:jc w:val="start"/>
              <w:spacing w:before="0" w:after="0"/>
            </w:pPr>
          </w:p>
          <w:p>
            <w:pPr>
              <w:jc w:val="start"/>
              <w:spacing w:before="0" w:after="0"/>
            </w:pPr>
          </w:p>
        </w:tc>
        <w:tc>
          <w:tcPr>
            <w:tcW w:w="7800" w:type="dxa"/>
            <w:noWrap/>
          </w:tcPr>
          <w:p>
            <w:pPr>
              <w:jc w:val="start"/>
              <w:spacing w:before="0" w:after="0"/>
            </w:pPr>
            <w:hyperlink r:id="rId18" w:history="1">
              <w:r>
                <w:rPr/>
                <w:t xml:space="preserve">THE RIVERIE BY KATATHANI</w:t>
              </w:r>
            </w:hyperlink>
          </w:p>
          <w:p>
            <w:pPr>
              <w:jc w:val="start"/>
              <w:spacing w:before="0" w:after="0"/>
            </w:pPr>
          </w:p>
          <w:p>
            <w:pPr>
              <w:jc w:val="start"/>
              <w:spacing w:before="0" w:after="0"/>
            </w:pPr>
          </w:p>
          <w:p>
            <w:pPr>
              <w:jc w:val="start"/>
              <w:spacing w:before="0" w:after="0"/>
            </w:pPr>
          </w:p>
        </w:tc>
        <w:tc>
          <w:tcPr>
            <w:tcW w:w="7800" w:type="dxa"/>
            <w:noWrap/>
          </w:tcPr>
          <w:p>
            <w:pPr>
              <w:jc w:val="start"/>
              <w:spacing w:before="0" w:after="0"/>
            </w:pPr>
            <w:hyperlink r:id="rId19" w:history="1">
              <w:r>
                <w:rPr/>
                <w:t xml:space="preserve">LE MERIDIEN</w:t>
              </w:r>
            </w:hyperlink>
          </w:p>
          <w:p>
            <w:pPr>
              <w:jc w:val="start"/>
              <w:spacing w:before="0" w:after="0"/>
            </w:pPr>
          </w:p>
          <w:p>
            <w:pPr>
              <w:jc w:val="start"/>
              <w:spacing w:before="0" w:after="0"/>
            </w:pPr>
          </w:p>
          <w:p>
            <w:pPr>
              <w:jc w:val="start"/>
              <w:spacing w:before="0" w:after="0"/>
            </w:pPr>
          </w:p>
        </w:tc>
      </w:tr>
      <w:tr>
        <w:trPr/>
        <w:tc>
          <w:tcPr>
            <w:tcW w:w="7800" w:type="dxa"/>
            <w:noWrap/>
          </w:tcPr>
          <w:p>
            <w:pPr>
              <w:jc w:val="start"/>
              <w:spacing w:before="0" w:after="0"/>
            </w:pPr>
            <w:r>
              <w:rPr>
                <w:b w:val="1"/>
                <w:bCs w:val="1"/>
              </w:rPr>
              <w:t xml:space="preserve">CHIANG MAI</w:t>
            </w:r>
          </w:p>
          <w:p>
            <w:pPr>
              <w:jc w:val="start"/>
              <w:spacing w:before="0" w:after="0"/>
            </w:pPr>
          </w:p>
        </w:tc>
        <w:tc>
          <w:tcPr>
            <w:tcW w:w="7800" w:type="dxa"/>
            <w:gridSpan w:val="2"/>
            <w:noWrap/>
          </w:tcPr>
          <w:p>
            <w:pPr>
              <w:jc w:val="start"/>
              <w:spacing w:before="0" w:after="0"/>
            </w:pPr>
            <w:hyperlink r:id="rId20" w:history="1">
              <w:r>
                <w:rPr/>
                <w:t xml:space="preserve">IBIS CHIANG NIMMAN JOURNEYHUB</w:t>
              </w:r>
            </w:hyperlink>
          </w:p>
          <w:p>
            <w:pPr>
              <w:jc w:val="start"/>
              <w:spacing w:before="0" w:after="0"/>
            </w:pPr>
          </w:p>
          <w:p>
            <w:pPr>
              <w:jc w:val="start"/>
              <w:spacing w:before="0" w:after="0"/>
            </w:pPr>
          </w:p>
          <w:p>
            <w:pPr>
              <w:jc w:val="start"/>
              <w:spacing w:before="0" w:after="0"/>
            </w:pPr>
          </w:p>
        </w:tc>
        <w:tc>
          <w:tcPr>
            <w:tcW w:w="7800" w:type="dxa"/>
            <w:noWrap/>
          </w:tcPr>
          <w:p>
            <w:pPr>
              <w:jc w:val="start"/>
              <w:spacing w:before="0" w:after="0"/>
            </w:pPr>
            <w:hyperlink r:id="rId21" w:history="1">
              <w:r>
                <w:rPr/>
                <w:t xml:space="preserve">NOVOTEL NIMMAN</w:t>
              </w:r>
            </w:hyperlink>
          </w:p>
          <w:p>
            <w:pPr>
              <w:jc w:val="start"/>
              <w:spacing w:before="0" w:after="0"/>
            </w:pPr>
          </w:p>
          <w:p>
            <w:pPr>
              <w:jc w:val="start"/>
              <w:spacing w:before="0" w:after="0"/>
            </w:pPr>
            <w:hyperlink r:id="rId22" w:history="1">
              <w:r>
                <w:rPr/>
                <w:t xml:space="preserve">TRAVELODGE NIMMAN</w:t>
              </w:r>
            </w:hyperlink>
          </w:p>
          <w:p>
            <w:pPr>
              <w:jc w:val="start"/>
              <w:spacing w:before="0" w:after="0"/>
            </w:pPr>
          </w:p>
          <w:p>
            <w:pPr>
              <w:jc w:val="start"/>
              <w:spacing w:before="0" w:after="0"/>
            </w:pPr>
          </w:p>
          <w:p>
            <w:pPr>
              <w:jc w:val="start"/>
              <w:spacing w:before="0" w:after="0"/>
            </w:pPr>
          </w:p>
        </w:tc>
        <w:tc>
          <w:tcPr>
            <w:tcW w:w="7800" w:type="dxa"/>
            <w:noWrap/>
          </w:tcPr>
          <w:p>
            <w:pPr>
              <w:jc w:val="start"/>
              <w:spacing w:before="0" w:after="0"/>
            </w:pPr>
            <w:hyperlink r:id="rId23" w:history="1">
              <w:r>
                <w:rPr/>
                <w:t xml:space="preserve">MELIA CHIANG MAI</w:t>
              </w:r>
            </w:hyperlink>
          </w:p>
          <w:p>
            <w:pPr>
              <w:jc w:val="start"/>
              <w:spacing w:before="0" w:after="0"/>
            </w:pPr>
          </w:p>
          <w:p>
            <w:pPr>
              <w:jc w:val="start"/>
              <w:spacing w:before="0" w:after="0"/>
            </w:pPr>
            <w:hyperlink r:id="rId24" w:history="1">
              <w:r>
                <w:rPr/>
                <w:t xml:space="preserve">AKYRA MANOR CHIANG MAI</w:t>
              </w:r>
            </w:hyperlink>
          </w:p>
          <w:p>
            <w:pPr>
              <w:jc w:val="start"/>
              <w:spacing w:before="0" w:after="0"/>
            </w:pPr>
          </w:p>
        </w:tc>
        <w:tc>
          <w:tcPr>
            <w:tcW w:w="7800" w:type="dxa"/>
            <w:noWrap/>
          </w:tcPr>
          <w:p>
            <w:pPr>
              <w:jc w:val="start"/>
              <w:spacing w:before="0" w:after="0"/>
            </w:pPr>
            <w:r>
              <w:rPr/>
              <w:t xml:space="preserve">SHANGRI-LA CHIANG MAI</w:t>
            </w:r>
          </w:p>
          <w:p>
            <w:pPr>
              <w:jc w:val="start"/>
              <w:spacing w:before="0" w:after="0"/>
            </w:pPr>
          </w:p>
        </w:tc>
      </w:tr>
      <w:tr>
        <w:trPr/>
        <w:tc>
          <w:tcPr>
            <w:tcW w:w="7800" w:type="dxa"/>
            <w:noWrap/>
          </w:tcPr>
          <w:p>
            <w:pPr>
              <w:jc w:val="start"/>
              <w:spacing w:before="0" w:after="0"/>
            </w:pPr>
            <w:r>
              <w:rPr>
                <w:b w:val="1"/>
                <w:bCs w:val="1"/>
              </w:rPr>
              <w:t xml:space="preserve">PHUKET</w:t>
            </w:r>
          </w:p>
          <w:p>
            <w:pPr>
              <w:jc w:val="start"/>
              <w:spacing w:before="0" w:after="0"/>
            </w:pPr>
          </w:p>
        </w:tc>
        <w:tc>
          <w:tcPr>
            <w:tcW w:w="7800" w:type="dxa"/>
            <w:gridSpan w:val="2"/>
            <w:noWrap/>
          </w:tcPr>
          <w:p>
            <w:pPr>
              <w:jc w:val="start"/>
              <w:spacing w:before="0" w:after="0"/>
            </w:pPr>
            <w:r>
              <w:rPr/>
              <w:t xml:space="preserve">CHANALAI HILLSIDE</w:t>
            </w:r>
          </w:p>
          <w:p>
            <w:pPr>
              <w:jc w:val="start"/>
              <w:spacing w:before="0" w:after="0"/>
            </w:pPr>
          </w:p>
          <w:p>
            <w:pPr>
              <w:jc w:val="start"/>
              <w:spacing w:before="0" w:after="0"/>
            </w:pPr>
            <w:r>
              <w:rPr/>
              <w:t xml:space="preserve">KATA PALM RESORT</w:t>
            </w:r>
          </w:p>
          <w:p>
            <w:pPr>
              <w:jc w:val="start"/>
              <w:spacing w:before="0" w:after="0"/>
            </w:pPr>
          </w:p>
        </w:tc>
        <w:tc>
          <w:tcPr>
            <w:tcW w:w="7800" w:type="dxa"/>
            <w:noWrap/>
          </w:tcPr>
          <w:p>
            <w:pPr>
              <w:jc w:val="start"/>
              <w:spacing w:before="0" w:after="0"/>
            </w:pPr>
            <w:r>
              <w:rPr/>
              <w:t xml:space="preserve">NOVOTEL KAMALA</w:t>
            </w:r>
          </w:p>
          <w:p>
            <w:pPr>
              <w:jc w:val="start"/>
              <w:spacing w:before="0" w:after="0"/>
            </w:pPr>
          </w:p>
          <w:p>
            <w:pPr>
              <w:jc w:val="start"/>
              <w:spacing w:before="0" w:after="0"/>
            </w:pPr>
            <w:r>
              <w:rPr/>
              <w:t xml:space="preserve">CASSIA PHUKET</w:t>
            </w:r>
          </w:p>
          <w:p>
            <w:pPr>
              <w:jc w:val="start"/>
              <w:spacing w:before="0" w:after="0"/>
            </w:pPr>
          </w:p>
        </w:tc>
        <w:tc>
          <w:tcPr>
            <w:tcW w:w="7800" w:type="dxa"/>
            <w:noWrap/>
          </w:tcPr>
          <w:p>
            <w:pPr>
              <w:jc w:val="start"/>
              <w:spacing w:before="0" w:after="0"/>
            </w:pPr>
            <w:r>
              <w:rPr/>
              <w:t xml:space="preserve">ANGSANA LAGUNA PHUKET</w:t>
            </w:r>
          </w:p>
          <w:p>
            <w:pPr>
              <w:jc w:val="start"/>
              <w:spacing w:before="0" w:after="0"/>
            </w:pPr>
          </w:p>
        </w:tc>
        <w:tc>
          <w:tcPr>
            <w:tcW w:w="7800" w:type="dxa"/>
            <w:noWrap/>
          </w:tcPr>
          <w:p>
            <w:pPr>
              <w:jc w:val="start"/>
              <w:spacing w:before="0" w:after="0"/>
            </w:pPr>
            <w:r>
              <w:rPr/>
              <w:t xml:space="preserve">SALA PHUKET</w:t>
            </w:r>
          </w:p>
          <w:p>
            <w:pPr>
              <w:jc w:val="start"/>
              <w:spacing w:before="0" w:after="0"/>
            </w:pPr>
          </w:p>
        </w:tc>
      </w:tr>
    </w:tbl>
    <w:p>
      <w:pPr>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p>
      <w:pPr>
        <w:spacing w:before="0" w:after="0"/>
      </w:pPr>
    </w:p>
    <w:p>
      <w:pPr>
        <w:spacing w:before="0" w:after="0"/>
      </w:pPr>
    </w:p>
    <w:p>
      <w:pPr>
        <w:spacing w:before="0" w:after="0"/>
      </w:pPr>
    </w:p>
    <w:p>
      <w:pPr>
        <w:spacing w:before="0" w:after="0"/>
      </w:pPr>
      <w:r>
        <w:rPr/>
        <w:t xml:space="preserve">* </w:t>
      </w:r>
      <w:r>
        <w:rPr>
          <w:b w:val="1"/>
          <w:bCs w:val="1"/>
        </w:rPr>
        <w:t xml:space="preserve">Horario de entrada</w:t>
      </w:r>
      <w:r>
        <w:rPr/>
        <w:t xml:space="preserve">: 13:00 o 14:00 </w:t>
      </w:r>
      <w:r>
        <w:rPr>
          <w:b w:val="1"/>
          <w:bCs w:val="1"/>
        </w:rPr>
        <w:t xml:space="preserve">Horario de salida</w:t>
      </w:r>
      <w:r>
        <w:rPr/>
        <w:t xml:space="preserve">: 11:00 o 12:00.</w:t>
      </w:r>
    </w:p>
    <w:p>
      <w:pPr>
        <w:spacing w:before="0" w:after="0"/>
      </w:pP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03 noches de alojamiento en Bangkok en el hotel seleccionado.</w:t>
      </w:r>
    </w:p>
    <w:p>
      <w:pPr>
        <w:numPr>
          <w:ilvl w:val="1"/>
          <w:numId w:val="1"/>
        </w:numPr>
      </w:pPr>
      <w:r>
        <w:rPr/>
        <w:t xml:space="preserve">01 noche de alojamiento en Chiang Rai en el hotel seleccionado.</w:t>
      </w:r>
    </w:p>
    <w:p>
      <w:pPr>
        <w:numPr>
          <w:ilvl w:val="1"/>
          <w:numId w:val="1"/>
        </w:numPr>
      </w:pPr>
      <w:r>
        <w:rPr/>
        <w:t xml:space="preserve">02 noches de alojamiento en Chiang Mai en el hotel seleccionado.</w:t>
      </w:r>
    </w:p>
    <w:p>
      <w:pPr>
        <w:numPr>
          <w:ilvl w:val="1"/>
          <w:numId w:val="1"/>
        </w:numPr>
      </w:pPr>
      <w:r>
        <w:rPr/>
        <w:t xml:space="preserve">03 noches de alojamiento en Phuket en el hotel seleccionado. </w:t>
      </w:r>
    </w:p>
    <w:p>
      <w:pPr>
        <w:numPr>
          <w:ilvl w:val="1"/>
          <w:numId w:val="1"/>
        </w:numPr>
      </w:pPr>
      <w:r>
        <w:rPr/>
        <w:t xml:space="preserve">Traslados, visitas y excursiones con guía de habla hispana. (Excepto Phuket, traslados en servicio compartido sin guía)</w:t>
      </w:r>
    </w:p>
    <w:p>
      <w:pPr>
        <w:numPr>
          <w:ilvl w:val="1"/>
          <w:numId w:val="1"/>
        </w:numPr>
      </w:pPr>
      <w:r>
        <w:rPr/>
        <w:t xml:space="preserve">Entradas a los sitios de interés durante las visitas y excursiones.</w:t>
      </w:r>
    </w:p>
    <w:p>
      <w:pPr>
        <w:numPr>
          <w:ilvl w:val="1"/>
          <w:numId w:val="1"/>
        </w:numPr>
      </w:pPr>
      <w:r>
        <w:rPr/>
        <w:t xml:space="preserve">Impuestos habitaciones, VAT y manejo de equipaje.</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Tiquete aéreo internacional, equipaje, impuestos, tasas y otros cargos.</w:t>
      </w:r>
    </w:p>
    <w:p>
      <w:pPr>
        <w:numPr>
          <w:ilvl w:val="1"/>
          <w:numId w:val="1"/>
        </w:numPr>
      </w:pPr>
      <w:r>
        <w:rPr/>
        <w:t xml:space="preserve">Tiquete aéreo Bangkok – Chiang Rai. Precio por persona aprox USD 175 neto por persona.</w:t>
      </w:r>
    </w:p>
    <w:p>
      <w:pPr>
        <w:numPr>
          <w:ilvl w:val="1"/>
          <w:numId w:val="1"/>
        </w:numPr>
      </w:pPr>
      <w:r>
        <w:rPr/>
        <w:t xml:space="preserve">Tiquete aéreo Chiang Mai – Phuket. Precio por persona aprox USD 270 neto por persona.</w:t>
      </w:r>
    </w:p>
    <w:p>
      <w:pPr>
        <w:numPr>
          <w:ilvl w:val="1"/>
          <w:numId w:val="1"/>
        </w:numPr>
      </w:pPr>
      <w:r>
        <w:rPr/>
        <w:t xml:space="preserve">Vacuna contra la fiebre amarilla OBLIGATORIA.</w:t>
      </w:r>
    </w:p>
    <w:p>
      <w:pPr>
        <w:numPr>
          <w:ilvl w:val="1"/>
          <w:numId w:val="1"/>
        </w:numPr>
      </w:pPr>
      <w:r>
        <w:rPr/>
        <w:t xml:space="preserve">Visado (Tarjeta Digital de llegada a Tailandia (TDAC) en línea dentro de los 3 días previos a la llegada)</w:t>
      </w:r>
    </w:p>
    <w:p>
      <w:pPr>
        <w:numPr>
          <w:ilvl w:val="1"/>
          <w:numId w:val="1"/>
        </w:numPr>
      </w:pPr>
      <w:r>
        <w:rPr/>
        <w:t xml:space="preserve">Propinas para guías, conductores, maleteros meseros entre otros.</w:t>
      </w:r>
    </w:p>
    <w:p>
      <w:pPr>
        <w:numPr>
          <w:ilvl w:val="1"/>
          <w:numId w:val="1"/>
        </w:numPr>
      </w:pPr>
      <w:r>
        <w:rPr/>
        <w:t xml:space="preserve">Cargos adicionales e impuestos que deban ser pagados directamente por los clientes en el destino, hoteles y restaurantes entre otros.</w:t>
      </w:r>
    </w:p>
    <w:p>
      <w:pPr>
        <w:numPr>
          <w:ilvl w:val="1"/>
          <w:numId w:val="1"/>
        </w:numPr>
      </w:pPr>
      <w:r>
        <w:rPr/>
        <w:t xml:space="preserve">Bebidas en las comidas incluidas.</w:t>
      </w:r>
    </w:p>
    <w:p>
      <w:pPr>
        <w:numPr>
          <w:ilvl w:val="1"/>
          <w:numId w:val="1"/>
        </w:numPr>
      </w:pPr>
      <w:r>
        <w:rPr/>
        <w:t xml:space="preserve">Cena de gala obligatoria para salidas con hospedaje el 31 de diciembre.</w:t>
      </w:r>
    </w:p>
    <w:p>
      <w:pPr>
        <w:numPr>
          <w:ilvl w:val="1"/>
          <w:numId w:val="1"/>
        </w:numPr>
      </w:pPr>
      <w:r>
        <w:rPr/>
        <w:t xml:space="preserve">Excursiones opcionales.</w:t>
      </w:r>
    </w:p>
    <w:p>
      <w:pPr>
        <w:numPr>
          <w:ilvl w:val="1"/>
          <w:numId w:val="1"/>
        </w:numPr>
      </w:pPr>
      <w:r>
        <w:rPr/>
        <w:t xml:space="preserve">Tarjeta de asistencia.</w:t>
      </w:r>
    </w:p>
    <w:p>
      <w:pPr>
        <w:numPr>
          <w:ilvl w:val="1"/>
          <w:numId w:val="1"/>
        </w:numPr>
      </w:pPr>
      <w:r>
        <w:rPr/>
        <w:t xml:space="preserve">Gastos personales y servicios no especificados.</w:t>
      </w:r>
    </w:p>
    <w:p>
      <w:pPr>
        <w:numPr>
          <w:ilvl w:val="1"/>
          <w:numId w:val="1"/>
        </w:numPr>
      </w:pPr>
      <w:r>
        <w:rPr/>
        <w:t xml:space="preserve">Fee bancario 2%, sobre el valor total de la porción terrestre.</w:t>
      </w:r>
    </w:p>
    <w:p>
      <w:pPr>
        <w:numPr>
          <w:ilvl w:val="1"/>
          <w:numId w:val="1"/>
        </w:numPr>
      </w:pPr>
      <w:r>
        <w:rPr/>
        <w:t xml:space="preserve">Suplemento pago con tarjeta crédito VISA y MÁSTER CARD del 3.3% de gestión bancaria.</w:t>
      </w:r>
    </w:p>
    <w:sectPr>
      <w:headerReference w:type="default" r:id="rId25"/>
      <w:footerReference w:type="default" r:id="rId26"/>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CDA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mandarin-bkk.com/" TargetMode="External"/><Relationship Id="rId10" Type="http://schemas.openxmlformats.org/officeDocument/2006/relationships/hyperlink" Target="https://www.bestwestern.com/en_US/book/hotels-in-sathorn/best-western-click-sathorn-11-bangkok/propertyCode.99933.html" TargetMode="External"/><Relationship Id="rId11" Type="http://schemas.openxmlformats.org/officeDocument/2006/relationships/hyperlink" Target="https://www.hilton.com/th/hotels/bkksigi-hilton-garden-inn-bangkok-silom/" TargetMode="External"/><Relationship Id="rId12" Type="http://schemas.openxmlformats.org/officeDocument/2006/relationships/hyperlink" Target="https://jckevin.com/" TargetMode="External"/><Relationship Id="rId13" Type="http://schemas.openxmlformats.org/officeDocument/2006/relationships/hyperlink" Target="https://montienbangkok.com/th/" TargetMode="External"/><Relationship Id="rId14" Type="http://schemas.openxmlformats.org/officeDocument/2006/relationships/hyperlink" Target="https://www.pullmanbangkokhotelg.com/" TargetMode="External"/><Relationship Id="rId15" Type="http://schemas.openxmlformats.org/officeDocument/2006/relationships/hyperlink" Target="https://www.so-bangkok.com/" TargetMode="External"/><Relationship Id="rId16" Type="http://schemas.openxmlformats.org/officeDocument/2006/relationships/hyperlink" Target="http://www.lalunaresortchiangrai.com/" TargetMode="External"/><Relationship Id="rId17" Type="http://schemas.openxmlformats.org/officeDocument/2006/relationships/hyperlink" Target="https://thelegend-chiangrai.com/" TargetMode="External"/><Relationship Id="rId18" Type="http://schemas.openxmlformats.org/officeDocument/2006/relationships/hyperlink" Target="https://www.theriverie.com/" TargetMode="External"/><Relationship Id="rId19" Type="http://schemas.openxmlformats.org/officeDocument/2006/relationships/hyperlink" Target="https://th.lemeridienchiangrai.com/" TargetMode="External"/><Relationship Id="rId20" Type="http://schemas.openxmlformats.org/officeDocument/2006/relationships/hyperlink" Target="https://all.accor.com/hotel/B9U9/index.en.shtml" TargetMode="External"/><Relationship Id="rId21" Type="http://schemas.openxmlformats.org/officeDocument/2006/relationships/hyperlink" Target="https://www.novotelchiangmai.com/" TargetMode="External"/><Relationship Id="rId22" Type="http://schemas.openxmlformats.org/officeDocument/2006/relationships/hyperlink" Target="https://www.travelodgehotels.asia/travelodge-nimman/" TargetMode="External"/><Relationship Id="rId23" Type="http://schemas.openxmlformats.org/officeDocument/2006/relationships/hyperlink" Target="https://www.melia.com/en/hotels/thailand/chiang-mai/melia-chiang-mai?esl-k=sem-google%7Cng%7Cc680290748340%7Cme%7Ckmelia%20chiang%20mai%7Cp%7Ct%7Cdc%7Ca146769962078%7Cg19654575976gad_source=1gclid=CjwKCAjwnK60BhA9EiwAmpHZw7CKpEs7B8iVXfq7IW84vielHLeLBTA_YwSCsxH5sLBKPE5JLIAoiRoC0-QQAvD_BwEgclsrc=aw.ds" TargetMode="External"/><Relationship Id="rId24" Type="http://schemas.openxmlformats.org/officeDocument/2006/relationships/hyperlink" Target="https://www.theakyra.com/chiang-mai/?gad_source=1gclid=CjwKCAjwnK60BhA9EiwAmpHZw8PkshsxOSra-0L5Ycy8uc8XiA52Edyd-kTQbAuzj4fMYn7bxnXkQhoCDS0QAvD_BwEgclsrc=aw.ds" TargetMode="External"/><Relationship Id="rId25" Type="http://schemas.openxmlformats.org/officeDocument/2006/relationships/header" Target="header1.xml"/><Relationship Id="rId2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2025-10-22T11:13:26+00:00</dcterms:created>
  <dcterms:modified xsi:type="dcterms:W3CDTF">2025-10-22T11:13:26+00:00</dcterms:modified>
</cp:coreProperties>
</file>

<file path=docProps/custom.xml><?xml version="1.0" encoding="utf-8"?>
<Properties xmlns="http://schemas.openxmlformats.org/officeDocument/2006/custom-properties" xmlns:vt="http://schemas.openxmlformats.org/officeDocument/2006/docPropsVTypes"/>
</file>