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REGULAR BÁSICO - CHINA                    </w:t>
      </w:r>
    </w:p>
    <w:p>
      <w:pPr/>
      <w:r>
        <w:rPr>
          <w:rFonts w:ascii="Arial" w:hAnsi="Arial" w:eastAsia="Arial" w:cs="Arial"/>
          <w:color w:val="light"/>
          <w:sz w:val="22"/>
          <w:szCs w:val="22"/>
          <w:b w:val="0"/>
          <w:bCs w:val="0"/>
        </w:rPr>
        <w:t xml:space="preserve">MTC - 31537</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$2493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Xi´an, </w:t>
      </w:r>
      <w:r>
        <w:rPr/>
        <w:t xml:space="preserve">Shanghai, </w:t>
      </w:r>
      <w:r>
        <w:rPr/>
        <w:t xml:space="preserve">Guilin, </w:t>
      </w:r>
      <w:r>
        <w:rPr/>
        <w:t xml:space="preserve">Guangzhou,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Almuerzo incluido.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XI’AN (TREN DE ALTA VELOCIDAD)</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traslado a la estación de tren para tomar el TREN DE ALTA VELOCIDAD en la Clase Turista a Xi´an (</w:t>
      </w:r>
      <w:r>
        <w:rPr>
          <w:b w:val="1"/>
          <w:bCs w:val="1"/>
        </w:rPr>
        <w:t xml:space="preserve">OPCIÓN</w:t>
      </w:r>
      <w:r>
        <w:rPr/>
        <w:t xml:space="preserve">: Traslado al Aeropuerto para tomar el VUELO DEL MISMO TRAYECTO BJS-XIA con cierto suplemento), antigua capital de China con 3.000 años de existencia, única capital amurallada y punto de partida de la famosa “Ruta de la Seda”. Traslado al hotel. </w:t>
      </w:r>
      <w:r>
        <w:rPr>
          <w:b w:val="1"/>
          <w:bCs w:val="1"/>
        </w:rPr>
        <w:t xml:space="preserve">Alojamiento.</w:t>
      </w:r>
    </w:p>
    <w:p>
      <w:pPr/>
      <w:r>
        <w:rPr/>
        <w:t xml:space="preserve"> </w:t>
      </w:r>
    </w:p>
    <w:p>
      <w:pPr/>
      <w:r>
        <w:rPr>
          <w:b w:val="1"/>
          <w:bCs w:val="1"/>
        </w:rPr>
        <w:t xml:space="preserve">DÍA 05 XI’AN (MUSEO DE GUERREROS Y CORCELES)</w:t>
      </w:r>
    </w:p>
    <w:p>
      <w:pPr/>
      <w:r>
        <w:rPr>
          <w:b w:val="1"/>
          <w:bCs w:val="1"/>
        </w:rPr>
        <w:t xml:space="preserve">Desayuno Buffet</w:t>
      </w:r>
      <w:r>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Pr>
          <w:b w:val="1"/>
          <w:bCs w:val="1"/>
        </w:rPr>
        <w:t xml:space="preserve">Almuerzo incluido</w:t>
      </w:r>
      <w:r>
        <w:rPr/>
        <w:t xml:space="preserve">. Por la tarde visitaremos a la Pequeña Pagoda de la Oca Silvestre (sin subir), hallada dentro del Templo Jianfu, a aproximadamente un kilómetro al sur de la zona urbana de Xi´an, y finalizaremos con una visita al Barrio Musulmán (sin entrar en la Gran Mezquita). </w:t>
      </w:r>
      <w:r>
        <w:rPr>
          <w:b w:val="1"/>
          <w:bCs w:val="1"/>
        </w:rPr>
        <w:t xml:space="preserve">Alojamiento</w:t>
      </w:r>
      <w:r>
        <w:rPr/>
        <w:t xml:space="preserve">.</w:t>
      </w:r>
    </w:p>
    <w:p>
      <w:pPr/>
      <w:r>
        <w:rPr/>
        <w:t xml:space="preserve"> </w:t>
      </w:r>
    </w:p>
    <w:p>
      <w:pPr/>
      <w:r>
        <w:rPr>
          <w:b w:val="1"/>
          <w:bCs w:val="1"/>
        </w:rPr>
        <w:t xml:space="preserve">DÍA 06 XI’AN – SHANGHÁI (VISITA DE CIUDAD)</w:t>
      </w:r>
    </w:p>
    <w:p>
      <w:pPr/>
      <w:r>
        <w:rPr>
          <w:b w:val="1"/>
          <w:bCs w:val="1"/>
        </w:rPr>
        <w:t xml:space="preserve">Desayuno Buffet</w:t>
      </w:r>
      <w:r>
        <w:rPr/>
        <w:t xml:space="preserve">. Salida en avión con destino a Shanghái, ciudad portuaria directamente subordinada al Poder Central con más de 16 millones de habitantes, es el mayor puerto, centro comercial y la metrópoli más internacional de China. </w:t>
      </w:r>
      <w:r>
        <w:rPr>
          <w:b w:val="1"/>
          <w:bCs w:val="1"/>
        </w:rPr>
        <w:t xml:space="preserve">Almuerzo incluido</w:t>
      </w:r>
      <w:r>
        <w:rPr/>
        <w:t xml:space="preserve">. Visitaremos el Jardín Yuyuan, el Templo de Buda de Jade y el Malecón de la Ciudad. Traslado al hotel. </w:t>
      </w:r>
      <w:r>
        <w:rPr>
          <w:b w:val="1"/>
          <w:bCs w:val="1"/>
        </w:rPr>
        <w:t xml:space="preserve">Alojamiento</w:t>
      </w:r>
      <w:r>
        <w:rPr/>
        <w:t xml:space="preserve">.</w:t>
      </w:r>
    </w:p>
    <w:p>
      <w:pPr/>
      <w:r>
        <w:rPr/>
        <w:t xml:space="preserve"> </w:t>
      </w:r>
    </w:p>
    <w:p>
      <w:pPr/>
      <w:r>
        <w:rPr>
          <w:b w:val="1"/>
          <w:bCs w:val="1"/>
        </w:rPr>
        <w:t xml:space="preserve">DÍA 07 SHANGHÁI (DÍA LIBRE).</w:t>
      </w:r>
    </w:p>
    <w:p>
      <w:pPr/>
      <w:r>
        <w:rPr>
          <w:b w:val="1"/>
          <w:bCs w:val="1"/>
        </w:rPr>
        <w:t xml:space="preserve">Desayuno Buffet</w:t>
      </w:r>
      <w:r>
        <w:rPr/>
        <w:t xml:space="preserve">. Día libre. Almuerzo NO está incluido. </w:t>
      </w:r>
      <w:r>
        <w:rPr>
          <w:b w:val="1"/>
          <w:bCs w:val="1"/>
        </w:rPr>
        <w:t xml:space="preserve">Alojamiento</w:t>
      </w:r>
      <w:r>
        <w:rPr/>
        <w:t xml:space="preserve">.</w:t>
      </w:r>
    </w:p>
    <w:p>
      <w:pPr/>
      <w:r>
        <w:rPr/>
        <w:t xml:space="preserve"> </w:t>
      </w:r>
    </w:p>
    <w:p>
      <w:pPr/>
      <w:r>
        <w:rPr/>
        <w:t xml:space="preserve">(*</w:t>
      </w:r>
      <w:r>
        <w:rPr>
          <w:b w:val="1"/>
          <w:bCs w:val="1"/>
        </w:rPr>
        <w:t xml:space="preserve">Nota Importante</w:t>
      </w:r>
      <w:r>
        <w:rPr/>
        <w:t xml:space="preserve">: Las visitas de Shanghái se podrían hacer en el Día 07 según la situación concreta. El operador se reserva el derecho a realizar dicho cambio en destino sin que ello suponga ningún reembolso ni aviso previo.)</w:t>
      </w:r>
    </w:p>
    <w:p>
      <w:pPr/>
      <w:r>
        <w:rPr/>
        <w:t xml:space="preserve"> </w:t>
      </w:r>
    </w:p>
    <w:p>
      <w:pPr/>
      <w:r>
        <w:rPr>
          <w:b w:val="1"/>
          <w:bCs w:val="1"/>
        </w:rPr>
        <w:t xml:space="preserve">DÍA 08 SHANGHÁI – GUILIN.</w:t>
      </w:r>
    </w:p>
    <w:p>
      <w:pPr/>
      <w:r>
        <w:rPr>
          <w:b w:val="1"/>
          <w:bCs w:val="1"/>
        </w:rPr>
        <w:t xml:space="preserve">Desayuno Buffet</w:t>
      </w:r>
      <w:r>
        <w:rPr/>
        <w:t xml:space="preserve">. Salida en avión rumbo a Guilin, ciudad famosa por su hermosura paisajística. Almuerzo NO está incluido. Llegada y traslado al hotel.</w:t>
      </w:r>
      <w:r>
        <w:rPr>
          <w:b w:val="1"/>
          <w:bCs w:val="1"/>
        </w:rPr>
        <w:t xml:space="preserve"> Alojamiento</w:t>
      </w:r>
      <w:r>
        <w:rPr/>
        <w:t xml:space="preserve">.</w:t>
      </w:r>
    </w:p>
    <w:p>
      <w:pPr/>
      <w:r>
        <w:rPr/>
        <w:t xml:space="preserve"> </w:t>
      </w:r>
    </w:p>
    <w:p>
      <w:pPr/>
      <w:r>
        <w:rPr>
          <w:b w:val="1"/>
          <w:bCs w:val="1"/>
        </w:rPr>
        <w:t xml:space="preserve">DÍA 09 GUILIN – GUANGZHOU (CRUCERO POR RIO LI) (TREN DE ALTA VELOCIDAD)</w:t>
      </w:r>
    </w:p>
    <w:p>
      <w:pPr/>
      <w:r>
        <w:rPr>
          <w:b w:val="1"/>
          <w:bCs w:val="1"/>
        </w:rPr>
        <w:t xml:space="preserve">Desayuno Buffet</w:t>
      </w:r>
      <w:r>
        <w:rPr/>
        <w:t xml:space="preserve">. En este día, realizaremos un crucero por el Río Li, que goza de una reputación mundial por “la soberana hermosura paisajística” conformada por colinas verticales surcadas por ríos de aguas diáfanas con grutas fantásticas. </w:t>
      </w:r>
      <w:r>
        <w:rPr>
          <w:b w:val="1"/>
          <w:bCs w:val="1"/>
        </w:rPr>
        <w:t xml:space="preserve">Almuerzo a bordo</w:t>
      </w:r>
      <w:r>
        <w:rPr/>
        <w:t xml:space="preserve">. Por la tarde visitaremos la Gruta de Las Flautas de Caña, y traslado a la estación de tren para tomar el tren de alta velocidad en la Clase Turista a Guangzhou, llamada la “Ciudad de Cabras” o la “Ciudad de Flores”, el más importante puerto fluvial y ciudad comercial del sur de China. Traslado al hotel. </w:t>
      </w:r>
      <w:r>
        <w:rPr>
          <w:b w:val="1"/>
          <w:bCs w:val="1"/>
        </w:rPr>
        <w:t xml:space="preserve">Alojamiento</w:t>
      </w:r>
      <w:r>
        <w:rPr/>
        <w:t xml:space="preserve">.</w:t>
      </w:r>
    </w:p>
    <w:p>
      <w:pPr/>
      <w:r>
        <w:rPr/>
        <w:t xml:space="preserve"> </w:t>
      </w:r>
    </w:p>
    <w:p>
      <w:pPr/>
      <w:r>
        <w:rPr>
          <w:b w:val="1"/>
          <w:bCs w:val="1"/>
        </w:rPr>
        <w:t xml:space="preserve">DÍA 10 GUANGZHOU – HONGKONG.</w:t>
      </w:r>
    </w:p>
    <w:p>
      <w:pPr/>
      <w:r>
        <w:rPr>
          <w:b w:val="1"/>
          <w:bCs w:val="1"/>
        </w:rPr>
        <w:t xml:space="preserve">Desayuno Buffet</w:t>
      </w:r>
      <w:r>
        <w:rPr/>
        <w:t xml:space="preserve">. Por la mañana visitaremos a la Casa Ancestral de la Familia Chen, una maravillosa joya arquitectónica de esculturas, la Plaza Huacheng, donde se puede ver la Torre TV (sin subir), y el Mercado Qingping. </w:t>
      </w:r>
      <w:r>
        <w:rPr>
          <w:b w:val="1"/>
          <w:bCs w:val="1"/>
        </w:rPr>
        <w:t xml:space="preserve">Almuerzo incluido</w:t>
      </w:r>
      <w:r>
        <w:rPr/>
        <w:t xml:space="preserve">. Por la tarde traslado al muelle “Shun De” para tomar el trasbordador y desembarque en el muelle “China Hong Kong City” de Hong Kong (horario por informar, dependiendo de la reserva final). Fin de nuestros servicios.</w:t>
      </w:r>
    </w:p>
    <w:p>
      <w:pPr/>
      <w:r>
        <w:rPr/>
        <w:t xml:space="preserve"> </w:t>
      </w:r>
    </w:p>
    <w:p>
      <w:pPr/>
      <w:r>
        <w:rPr/>
        <w:t xml:space="preserve">(</w:t>
      </w:r>
      <w:r>
        <w:rPr>
          <w:b w:val="1"/>
          <w:bCs w:val="1"/>
        </w:rPr>
        <w:t xml:space="preserve">*Nota importante: </w:t>
      </w:r>
      <w:r>
        <w:rPr/>
        <w:t xml:space="preserve">Posibilidad de tomar extensión a Hong Kong de 3 noches con suplemento adicional. Favor de consultar con su asesor de ventas)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11 Noviembre 2024 – 20 Enero 2025. 03 – 20 Febrero 2025.</w:t>
            </w:r>
          </w:p>
        </w:tc>
        <w:tc>
          <w:tcPr>
            <w:tcW w:w="7800" w:type="dxa"/>
            <w:noWrap/>
          </w:tcPr>
          <w:p>
            <w:pPr>
              <w:jc w:val="start"/>
              <w:spacing w:before="0" w:after="0"/>
            </w:pPr>
            <w:r>
              <w:rPr/>
              <w:t xml:space="preserve">USD 2.493</w:t>
            </w:r>
          </w:p>
        </w:tc>
        <w:tc>
          <w:tcPr>
            <w:tcW w:w="7800" w:type="dxa"/>
            <w:noWrap/>
          </w:tcPr>
          <w:p>
            <w:pPr>
              <w:jc w:val="start"/>
              <w:spacing w:before="0" w:after="0"/>
            </w:pPr>
            <w:r>
              <w:rPr/>
              <w:t xml:space="preserve">USD 3.053</w:t>
            </w:r>
          </w:p>
        </w:tc>
      </w:tr>
      <w:tr>
        <w:trPr/>
        <w:tc>
          <w:tcPr>
            <w:tcW w:w="7800" w:type="dxa"/>
            <w:noWrap/>
          </w:tcPr>
          <w:p>
            <w:pPr>
              <w:jc w:val="start"/>
              <w:spacing w:before="0" w:after="0"/>
            </w:pPr>
            <w:r>
              <w:rPr/>
              <w:t xml:space="preserve">24 Febrero 2025 – 20 Marzo 2025.</w:t>
            </w:r>
          </w:p>
        </w:tc>
        <w:tc>
          <w:tcPr>
            <w:tcW w:w="7800" w:type="dxa"/>
            <w:noWrap/>
          </w:tcPr>
          <w:p>
            <w:pPr>
              <w:jc w:val="start"/>
              <w:spacing w:before="0" w:after="0"/>
            </w:pPr>
            <w:r>
              <w:rPr/>
              <w:t xml:space="preserve">USD 2.507</w:t>
            </w:r>
          </w:p>
        </w:tc>
        <w:tc>
          <w:tcPr>
            <w:tcW w:w="7800" w:type="dxa"/>
            <w:noWrap/>
          </w:tcPr>
          <w:p>
            <w:pPr>
              <w:jc w:val="start"/>
              <w:spacing w:before="0" w:after="0"/>
            </w:pPr>
            <w:r>
              <w:rPr/>
              <w:t xml:space="preserve">USD 3.080</w:t>
            </w:r>
          </w:p>
        </w:tc>
      </w:tr>
      <w:tr>
        <w:trPr/>
        <w:tc>
          <w:tcPr>
            <w:tcW w:w="7800" w:type="dxa"/>
            <w:noWrap/>
          </w:tcPr>
          <w:p>
            <w:pPr>
              <w:jc w:val="start"/>
              <w:spacing w:before="0" w:after="0"/>
            </w:pPr>
            <w:r>
              <w:rPr/>
              <w:t xml:space="preserve">24 Marzo 2025 – 22 Mayo 2025.</w:t>
            </w:r>
          </w:p>
        </w:tc>
        <w:tc>
          <w:tcPr>
            <w:tcW w:w="7800" w:type="dxa"/>
            <w:noWrap/>
          </w:tcPr>
          <w:p>
            <w:pPr>
              <w:jc w:val="start"/>
              <w:spacing w:before="0" w:after="0"/>
            </w:pPr>
            <w:r>
              <w:rPr/>
              <w:t xml:space="preserve">USD 2.680</w:t>
            </w:r>
          </w:p>
        </w:tc>
        <w:tc>
          <w:tcPr>
            <w:tcW w:w="7800" w:type="dxa"/>
            <w:noWrap/>
          </w:tcPr>
          <w:p>
            <w:pPr>
              <w:jc w:val="start"/>
              <w:spacing w:before="0" w:after="0"/>
            </w:pPr>
            <w:r>
              <w:rPr/>
              <w:t xml:space="preserve">USD 3.293</w:t>
            </w:r>
          </w:p>
        </w:tc>
      </w:tr>
      <w:tr>
        <w:trPr/>
        <w:tc>
          <w:tcPr>
            <w:tcW w:w="7800" w:type="dxa"/>
            <w:noWrap/>
          </w:tcPr>
          <w:p>
            <w:pPr>
              <w:jc w:val="start"/>
              <w:spacing w:before="0" w:after="0"/>
            </w:pPr>
            <w:r>
              <w:rPr/>
              <w:t xml:space="preserve">26 Mayo 2025 – 21 Agosto 2025.</w:t>
            </w:r>
          </w:p>
        </w:tc>
        <w:tc>
          <w:tcPr>
            <w:tcW w:w="7800" w:type="dxa"/>
            <w:noWrap/>
          </w:tcPr>
          <w:p>
            <w:pPr>
              <w:jc w:val="start"/>
              <w:spacing w:before="0" w:after="0"/>
            </w:pPr>
            <w:r>
              <w:rPr/>
              <w:t xml:space="preserve">USD 2.707</w:t>
            </w:r>
          </w:p>
        </w:tc>
        <w:tc>
          <w:tcPr>
            <w:tcW w:w="7800" w:type="dxa"/>
            <w:noWrap/>
          </w:tcPr>
          <w:p>
            <w:pPr>
              <w:jc w:val="start"/>
              <w:spacing w:before="0" w:after="0"/>
            </w:pPr>
            <w:r>
              <w:rPr/>
              <w:t xml:space="preserve">USD 3.293</w:t>
            </w:r>
          </w:p>
        </w:tc>
      </w:tr>
      <w:tr>
        <w:trPr/>
        <w:tc>
          <w:tcPr>
            <w:tcW w:w="7800" w:type="dxa"/>
            <w:noWrap/>
          </w:tcPr>
          <w:p>
            <w:pPr>
              <w:jc w:val="start"/>
              <w:spacing w:before="0" w:after="0"/>
            </w:pPr>
            <w:r>
              <w:rPr/>
              <w:t xml:space="preserve">25 Agosto 2025 – 06 Noviembre 2025.</w:t>
            </w:r>
          </w:p>
        </w:tc>
        <w:tc>
          <w:tcPr>
            <w:tcW w:w="7800" w:type="dxa"/>
            <w:noWrap/>
          </w:tcPr>
          <w:p>
            <w:pPr>
              <w:jc w:val="start"/>
              <w:spacing w:before="0" w:after="0"/>
            </w:pPr>
            <w:r>
              <w:rPr/>
              <w:t xml:space="preserve">USD 2.733</w:t>
            </w:r>
          </w:p>
        </w:tc>
        <w:tc>
          <w:tcPr>
            <w:tcW w:w="7800" w:type="dxa"/>
            <w:noWrap/>
          </w:tcPr>
          <w:p>
            <w:pPr>
              <w:jc w:val="start"/>
              <w:spacing w:before="0" w:after="0"/>
            </w:pPr>
            <w:r>
              <w:rPr/>
              <w:t xml:space="preserve">USD 3.373</w:t>
            </w:r>
          </w:p>
        </w:tc>
      </w:tr>
      <w:tr>
        <w:trPr/>
        <w:tc>
          <w:tcPr>
            <w:tcW w:w="7800" w:type="dxa"/>
            <w:noWrap/>
          </w:tcPr>
          <w:p>
            <w:pPr>
              <w:jc w:val="start"/>
              <w:spacing w:before="0" w:after="0"/>
            </w:pPr>
            <w:r>
              <w:rPr/>
              <w:t xml:space="preserve">10 Noviembre 2025 – 09 Febrero 2026.</w:t>
            </w:r>
          </w:p>
        </w:tc>
        <w:tc>
          <w:tcPr>
            <w:tcW w:w="7800" w:type="dxa"/>
            <w:noWrap/>
          </w:tcPr>
          <w:p>
            <w:pPr>
              <w:jc w:val="start"/>
              <w:spacing w:before="0" w:after="0"/>
            </w:pPr>
            <w:r>
              <w:rPr/>
              <w:t xml:space="preserve">USD 2.673</w:t>
            </w:r>
          </w:p>
        </w:tc>
        <w:tc>
          <w:tcPr>
            <w:tcW w:w="7800" w:type="dxa"/>
            <w:noWrap/>
          </w:tcPr>
          <w:p>
            <w:pPr>
              <w:jc w:val="start"/>
              <w:spacing w:before="0" w:after="0"/>
            </w:pPr>
            <w:r>
              <w:rPr/>
              <w:t xml:space="preserve">USD 3.233</w:t>
            </w:r>
          </w:p>
        </w:tc>
      </w:tr>
      <w:tr>
        <w:trPr/>
        <w:tc>
          <w:tcPr>
            <w:tcW w:w="7800" w:type="dxa"/>
            <w:noWrap/>
          </w:tcPr>
          <w:p>
            <w:pPr>
              <w:jc w:val="start"/>
              <w:spacing w:before="0" w:after="0"/>
            </w:pPr>
            <w:r>
              <w:rPr/>
              <w:t xml:space="preserve">23 Febrero 2026 – 19 Marzo 2026.</w:t>
            </w:r>
          </w:p>
        </w:tc>
        <w:tc>
          <w:tcPr>
            <w:tcW w:w="7800" w:type="dxa"/>
            <w:noWrap/>
          </w:tcPr>
          <w:p>
            <w:pPr>
              <w:jc w:val="start"/>
              <w:spacing w:before="0" w:after="0"/>
            </w:pPr>
            <w:r>
              <w:rPr/>
              <w:t xml:space="preserve">USD 2.680</w:t>
            </w:r>
          </w:p>
        </w:tc>
        <w:tc>
          <w:tcPr>
            <w:tcW w:w="7800" w:type="dxa"/>
            <w:noWrap/>
          </w:tcPr>
          <w:p>
            <w:pPr>
              <w:jc w:val="start"/>
              <w:spacing w:before="0" w:after="0"/>
            </w:pPr>
            <w:r>
              <w:rPr/>
              <w:t xml:space="preserve">USD 3.253</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r>
        <w:trPr/>
        <w:tc>
          <w:tcPr>
            <w:tcW w:w="7800" w:type="dxa"/>
            <w:gridSpan w:val="3"/>
            <w:noWrap/>
          </w:tcPr>
          <w:p>
            <w:pPr>
              <w:jc w:val="start"/>
              <w:spacing w:before="0" w:after="0"/>
            </w:pPr>
            <w:r>
              <w:rPr/>
              <w:t xml:space="preserve">No hay salida durante 21 Enero al 02 Febrero 2025 debido al Año Nuevo Chino 2025. No hay salida durante 10 al 22 Febrero 2026, debido al Año Nuevo Chino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Feria de Cantón</w:t>
            </w:r>
          </w:p>
          <w:p>
            <w:pPr>
              <w:jc w:val="start"/>
              <w:spacing w:before="0" w:after="0"/>
            </w:pPr>
            <w:r>
              <w:rPr/>
              <w:t xml:space="preserve">(Salidas de 07 Abr, 24 Abr, 06 Octubre y 22 Octubre)</w:t>
            </w:r>
          </w:p>
        </w:tc>
        <w:tc>
          <w:tcPr>
            <w:tcW w:w="7800" w:type="dxa"/>
            <w:noWrap/>
          </w:tcPr>
          <w:p>
            <w:pPr>
              <w:jc w:val="start"/>
              <w:spacing w:before="0" w:after="0"/>
            </w:pPr>
            <w:r>
              <w:rPr/>
              <w:t xml:space="preserve">USD 80 p.p en DBL</w:t>
            </w:r>
          </w:p>
          <w:p>
            <w:pPr>
              <w:jc w:val="start"/>
              <w:spacing w:before="0" w:after="0"/>
            </w:pPr>
            <w:r>
              <w:rPr/>
              <w:t xml:space="preserve">USD 160 p.p en SGL</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cambiar en el día 4 el tren rápido de Bjs – Xia por el vuelo del mismo trayecto con tasas. (Solo para las salidas de Lunes, Martes y Jueves).</w:t>
            </w:r>
          </w:p>
        </w:tc>
        <w:tc>
          <w:tcPr>
            <w:tcW w:w="7800" w:type="dxa"/>
            <w:noWrap/>
          </w:tcPr>
          <w:p>
            <w:pPr>
              <w:jc w:val="start"/>
              <w:spacing w:before="0" w:after="0"/>
            </w:pPr>
            <w:r>
              <w:rPr/>
              <w:t xml:space="preserve">USD 375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V-Continent Beijing Parkview Wuzhou 5*</w:t>
            </w:r>
          </w:p>
          <w:p>
            <w:pPr>
              <w:jc w:val="start"/>
              <w:spacing w:before="0" w:after="0"/>
            </w:pPr>
            <w:r>
              <w:rPr/>
              <w:t xml:space="preserve">Celibrity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Grand Noble – equivalente a 5*</w:t>
            </w:r>
          </w:p>
          <w:p>
            <w:pPr>
              <w:jc w:val="start"/>
              <w:spacing w:before="0" w:after="0"/>
            </w:pPr>
            <w:r>
              <w:rPr/>
              <w:t xml:space="preserve">Golden Flower Hotel – equivalente a 5*</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noWrap/>
          </w:tcPr>
          <w:p>
            <w:pPr>
              <w:jc w:val="start"/>
              <w:spacing w:before="0" w:after="0"/>
            </w:pPr>
            <w:r>
              <w:rPr/>
              <w:t xml:space="preserve">Guilin</w:t>
            </w:r>
          </w:p>
        </w:tc>
        <w:tc>
          <w:tcPr>
            <w:tcW w:w="7800" w:type="dxa"/>
            <w:noWrap/>
          </w:tcPr>
          <w:p>
            <w:pPr>
              <w:jc w:val="start"/>
              <w:spacing w:before="0" w:after="0"/>
            </w:pPr>
            <w:r>
              <w:rPr/>
              <w:t xml:space="preserve">Lijiang Waterfall 5*</w:t>
            </w:r>
          </w:p>
          <w:p>
            <w:pPr>
              <w:jc w:val="start"/>
              <w:spacing w:before="0" w:after="0"/>
            </w:pPr>
            <w:r>
              <w:rPr/>
              <w:t xml:space="preserve">Sheraton 5*</w:t>
            </w:r>
          </w:p>
        </w:tc>
      </w:tr>
      <w:tr>
        <w:trPr/>
        <w:tc>
          <w:tcPr>
            <w:tcW w:w="7800" w:type="dxa"/>
            <w:noWrap/>
          </w:tcPr>
          <w:p>
            <w:pPr>
              <w:jc w:val="start"/>
              <w:spacing w:before="0" w:after="0"/>
            </w:pPr>
            <w:r>
              <w:rPr/>
              <w:t xml:space="preserve">Guangzhou</w:t>
            </w:r>
          </w:p>
        </w:tc>
        <w:tc>
          <w:tcPr>
            <w:tcW w:w="7800" w:type="dxa"/>
            <w:noWrap/>
          </w:tcPr>
          <w:p>
            <w:pPr>
              <w:jc w:val="start"/>
              <w:spacing w:before="0" w:after="0"/>
            </w:pPr>
            <w:r>
              <w:rPr/>
              <w:t xml:space="preserve">Asia International 5*</w:t>
            </w:r>
          </w:p>
          <w:p>
            <w:pPr>
              <w:jc w:val="start"/>
              <w:spacing w:before="0" w:after="0"/>
            </w:pPr>
            <w:r>
              <w:rPr/>
              <w:t xml:space="preserve">Ramada Plaza Guangzhou – equivalente a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Shanghái / Shanghái – Guilin).</w:t>
      </w:r>
    </w:p>
    <w:p>
      <w:pPr>
        <w:numPr>
          <w:ilvl w:val="1"/>
          <w:numId w:val="2"/>
        </w:numPr>
      </w:pPr>
      <w:r>
        <w:rPr/>
        <w:t xml:space="preserve">Billetes de tren de alta velocidad en clase turista.</w:t>
      </w:r>
    </w:p>
    <w:p>
      <w:pPr>
        <w:numPr>
          <w:ilvl w:val="1"/>
          <w:numId w:val="2"/>
        </w:numPr>
      </w:pPr>
      <w:r>
        <w:rPr/>
        <w:t xml:space="preserve">Billete de Ferry de Guangzhou a Hong Kong.</w:t>
      </w:r>
    </w:p>
    <w:p>
      <w:pPr>
        <w:numPr>
          <w:ilvl w:val="1"/>
          <w:numId w:val="2"/>
        </w:numPr>
      </w:pPr>
      <w:r>
        <w:rPr/>
        <w:t xml:space="preserve">Visitas con guías locales de habla hispana en Beijing, Xi’an, Shanghái, Guangzhou, Guilin. </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numPr>
          <w:ilvl w:val="1"/>
          <w:numId w:val="2"/>
        </w:numPr>
      </w:pPr>
      <w:r>
        <w:rPr/>
        <w:t xml:space="preserve">Crucero en barco con aire acondicionado por el Rio Li en Guilin.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de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DB7F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873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2025-07-11T20:19:20+00:00</dcterms:created>
  <dcterms:modified xsi:type="dcterms:W3CDTF">2025-07-11T20:19:20+00:00</dcterms:modified>
</cp:coreProperties>
</file>

<file path=docProps/custom.xml><?xml version="1.0" encoding="utf-8"?>
<Properties xmlns="http://schemas.openxmlformats.org/officeDocument/2006/custom-properties" xmlns:vt="http://schemas.openxmlformats.org/officeDocument/2006/docPropsVTypes"/>
</file>