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ISRAEL Y JORDANIA                    </w:t>
      </w:r>
    </w:p>
    <w:p>
      <w:pPr/>
      <w:r>
        <w:rPr>
          <w:rFonts w:ascii="Arial" w:hAnsi="Arial" w:eastAsia="Arial" w:cs="Arial"/>
          <w:color w:val="light"/>
          <w:sz w:val="22"/>
          <w:szCs w:val="22"/>
          <w:b w:val="0"/>
          <w:bCs w:val="0"/>
        </w:rPr>
        <w:t xml:space="preserve">MTC - 28605</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$2319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DIA 01 </w:t>
      </w:r>
      <w:br/>
      <w:r>
        <w:rPr>
          <w:b w:val="1"/>
          <w:bCs w:val="1"/>
        </w:rPr>
        <w:t xml:space="preserve">COLOMBIA - TEL AVIV – JERUSALÉN.</w:t>
      </w:r>
      <w:br/>
      <w:r>
        <w:rPr/>
        <w:t xml:space="preserve">Presentarse el día sábado con tres horas de anticipación en el aeropuerto para tomar el vuelo hacia la ciudad de TEL AVIV. Llegada, asistencia y recepción por nuestro personal en el Aeropuerto de TEL AVIV, traslado en servicio compartido al hotel seleccionado. Resto del día libre. </w:t>
      </w:r>
      <w:r>
        <w:rPr>
          <w:b w:val="1"/>
          <w:bCs w:val="1"/>
        </w:rPr>
        <w:t xml:space="preserve">(Cena no incluida) Alojamiento.</w:t>
      </w:r>
      <w:br/>
      <w:r>
        <w:rPr/>
        <w:t xml:space="preserve"> </w:t>
      </w:r>
    </w:p>
    <w:p>
      <w:pPr/>
      <w:r>
        <w:rPr>
          <w:b w:val="1"/>
          <w:bCs w:val="1"/>
        </w:rPr>
        <w:t xml:space="preserve">DÍA 02 </w:t>
      </w:r>
      <w:br/>
      <w:r>
        <w:rPr>
          <w:b w:val="1"/>
          <w:bCs w:val="1"/>
        </w:rPr>
        <w:t xml:space="preserve">JERUSALÉN ANTIGUA.</w:t>
      </w:r>
      <w:br/>
      <w:r>
        <w:rPr>
          <w:b w:val="1"/>
          <w:bCs w:val="1"/>
        </w:rPr>
        <w:t xml:space="preserve">DESAYUNO. </w:t>
      </w:r>
      <w:r>
        <w:rPr/>
        <w:t xml:space="preserve">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w:t>
      </w:r>
      <w:r>
        <w:rPr>
          <w:b w:val="1"/>
          <w:bCs w:val="1"/>
        </w:rPr>
        <w:t xml:space="preserve"> (Cena no incluida) Alojamiento.</w:t>
      </w:r>
    </w:p>
    <w:p>
      <w:pPr/>
      <w:r>
        <w:rPr/>
        <w:t xml:space="preserve">Opcional Tour Nocturno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br/>
      <w:r>
        <w:rPr/>
        <w:t xml:space="preserve"> </w:t>
      </w:r>
    </w:p>
    <w:p>
      <w:pPr/>
      <w:r>
        <w:rPr>
          <w:b w:val="1"/>
          <w:bCs w:val="1"/>
        </w:rPr>
        <w:t xml:space="preserve">DÍA 03</w:t>
      </w:r>
      <w:br/>
      <w:r>
        <w:rPr>
          <w:b w:val="1"/>
          <w:bCs w:val="1"/>
        </w:rPr>
        <w:t xml:space="preserve">JERUSALÉN MODERNA.  </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r>
        <w:rPr/>
        <w:t xml:space="preserve">Opcional Belén – Visita a Belén con almuerzo (incluido), visitaremos la Iglesia de la Natividad, la Gruta del Pesebre y la Estrella de 14 puntas (lugar del nacimiento de Jesús). Retorno a Jerusalén.</w:t>
      </w:r>
    </w:p>
    <w:p>
      <w:pPr/>
      <w:r>
        <w:rPr>
          <w:b w:val="1"/>
          <w:bCs w:val="1"/>
        </w:rPr>
        <w:t xml:space="preserve">Nota:</w:t>
      </w:r>
      <w:r>
        <w:rPr/>
        <w:t xml:space="preserve"> el tour Opcional Belén recomendamos reservarlo con anticipación una semana antes del inicio del programa.</w:t>
      </w:r>
      <w:br/>
      <w:r>
        <w:rPr/>
        <w:t xml:space="preserve"> </w:t>
      </w:r>
    </w:p>
    <w:p>
      <w:pPr/>
      <w:r>
        <w:rPr>
          <w:b w:val="1"/>
          <w:bCs w:val="1"/>
        </w:rPr>
        <w:t xml:space="preserve">DÍA 04</w:t>
      </w:r>
      <w:br/>
      <w:r>
        <w:rPr>
          <w:b w:val="1"/>
          <w:bCs w:val="1"/>
        </w:rPr>
        <w:t xml:space="preserve">JERUSALÉN – RÍO JORDÁN – GALILEA – HAIFA.</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w:t>
      </w:r>
      <w:r>
        <w:rPr>
          <w:b w:val="1"/>
          <w:bCs w:val="1"/>
        </w:rPr>
        <w:t xml:space="preserve"> (Cena no incluida) Alojamiento.</w:t>
      </w:r>
      <w:br/>
      <w:r>
        <w:rPr/>
        <w:t xml:space="preserve"> </w:t>
      </w:r>
    </w:p>
    <w:p>
      <w:pPr/>
      <w:r>
        <w:rPr>
          <w:b w:val="1"/>
          <w:bCs w:val="1"/>
        </w:rPr>
        <w:t xml:space="preserve">DÍA 05</w:t>
      </w:r>
      <w:br/>
      <w:r>
        <w:rPr>
          <w:b w:val="1"/>
          <w:bCs w:val="1"/>
        </w:rPr>
        <w:t xml:space="preserve">HAIFA – ACRE – NAZARETH – HAIFA. </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Bahía y sus Jardines Persas, asimismo tendremos una vista panorámica de la ciudad y del puerto. </w:t>
      </w:r>
      <w:r>
        <w:rPr>
          <w:b w:val="1"/>
          <w:bCs w:val="1"/>
        </w:rPr>
        <w:t xml:space="preserve">(Cena no incluida) Alojamiento.</w:t>
      </w:r>
      <w:br/>
      <w:r>
        <w:rPr/>
        <w:t xml:space="preserve"> </w:t>
      </w:r>
    </w:p>
    <w:p>
      <w:pPr/>
      <w:r>
        <w:rPr>
          <w:b w:val="1"/>
          <w:bCs w:val="1"/>
        </w:rPr>
        <w:t xml:space="preserve">DÍA 06</w:t>
      </w:r>
      <w:br/>
      <w:r>
        <w:rPr>
          <w:b w:val="1"/>
          <w:bCs w:val="1"/>
        </w:rPr>
        <w:t xml:space="preserve">HAIFA – CESÁREA – TEL AVIV. </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 Alojamiento.</w:t>
      </w:r>
      <w:br/>
      <w:r>
        <w:rPr/>
        <w:t xml:space="preserve"> </w:t>
      </w:r>
    </w:p>
    <w:p>
      <w:pPr/>
      <w:r>
        <w:rPr>
          <w:b w:val="1"/>
          <w:bCs w:val="1"/>
        </w:rPr>
        <w:t xml:space="preserve">DÍA 07 </w:t>
      </w:r>
      <w:br/>
      <w:r>
        <w:rPr>
          <w:b w:val="1"/>
          <w:bCs w:val="1"/>
        </w:rPr>
        <w:t xml:space="preserve">TEL AVIV.</w:t>
      </w:r>
      <w:br/>
      <w:r>
        <w:rPr>
          <w:b w:val="1"/>
          <w:bCs w:val="1"/>
        </w:rPr>
        <w:t xml:space="preserve">DESAYUNO.</w:t>
      </w:r>
      <w:r>
        <w:rPr/>
        <w:t xml:space="preserve"> Día libre. Posibilidad de tomar la excursión Opcional Masada y Mar Muerto. Salida hacia el Mar Muerto, el lugar más bajo del mundo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Regreso a Tel Aviv.</w:t>
      </w:r>
      <w:r>
        <w:rPr>
          <w:b w:val="1"/>
          <w:bCs w:val="1"/>
        </w:rPr>
        <w:t xml:space="preserve"> (Cena no incluida) Alojamiento.</w:t>
      </w:r>
      <w:br/>
      <w:r>
        <w:rPr>
          <w:b w:val="1"/>
          <w:bCs w:val="1"/>
        </w:rPr>
        <w:t xml:space="preserve">Nota:</w:t>
      </w:r>
      <w:r>
        <w:rPr/>
        <w:t xml:space="preserve"> el tour Opcional Masada y Mar Muerto recomendamos reservarlo con anticipación una semana antes del inicio del programa.</w:t>
      </w:r>
      <w:br/>
      <w:r>
        <w:rPr/>
        <w:t xml:space="preserve"> </w:t>
      </w:r>
    </w:p>
    <w:p>
      <w:pPr/>
      <w:r>
        <w:rPr>
          <w:b w:val="1"/>
          <w:bCs w:val="1"/>
        </w:rPr>
        <w:t xml:space="preserve">DÍA 08 </w:t>
      </w:r>
      <w:br/>
      <w:r>
        <w:rPr>
          <w:b w:val="1"/>
          <w:bCs w:val="1"/>
        </w:rPr>
        <w:t xml:space="preserve">TEL AVIV – SHEIK HUSSEIN – AMMAN.</w:t>
      </w:r>
      <w:br/>
      <w:r>
        <w:rPr>
          <w:b w:val="1"/>
          <w:bCs w:val="1"/>
        </w:rPr>
        <w:t xml:space="preserve">DESAYUNO.</w:t>
      </w:r>
      <w:r>
        <w:rPr/>
        <w:t xml:space="preserve"> Traslado a la frontera y entrada a Jordania. Después de completar los trámites de inmigración en la frontera, encuentro con el guía jordano para continuar hacia Jerash, ciudad del Decápolis, situada a 45 km y a una hora de distancia por carretera. Durante la excursión visitaremos el Arco de Triunfo, la Plaza Ovalada, el Cardo, la Columnata, el Templo de Afrodita y finalizaremos en el Teatro Romano que posee una maravillosa acústica. Salida hacia Amman. </w:t>
      </w:r>
      <w:r>
        <w:rPr>
          <w:b w:val="1"/>
          <w:bCs w:val="1"/>
        </w:rPr>
        <w:t xml:space="preserve">(Cena incluida) Alojamiento.</w:t>
      </w:r>
      <w:br/>
      <w:r>
        <w:rPr/>
        <w:t xml:space="preserve"> </w:t>
      </w:r>
    </w:p>
    <w:p>
      <w:pPr/>
      <w:r>
        <w:rPr>
          <w:b w:val="1"/>
          <w:bCs w:val="1"/>
        </w:rPr>
        <w:t xml:space="preserve">DÍA 09 </w:t>
      </w:r>
      <w:br/>
      <w:r>
        <w:rPr>
          <w:b w:val="1"/>
          <w:bCs w:val="1"/>
        </w:rPr>
        <w:t xml:space="preserve">AMMAN – MADABA – NEBO – PETRA.</w:t>
      </w:r>
      <w:br/>
      <w:r>
        <w:rPr>
          <w:b w:val="1"/>
          <w:bCs w:val="1"/>
        </w:rPr>
        <w:t xml:space="preserve">DESAYUNO.</w:t>
      </w:r>
      <w:r>
        <w:rPr/>
        <w:t xml:space="preserve">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w:t>
      </w:r>
      <w:r>
        <w:rPr>
          <w:b w:val="1"/>
          <w:bCs w:val="1"/>
        </w:rPr>
        <w:t xml:space="preserve"> (Cena incluida). Alojamiento.</w:t>
      </w:r>
      <w:br/>
      <w:r>
        <w:rPr/>
        <w:t xml:space="preserve"> </w:t>
      </w:r>
    </w:p>
    <w:p>
      <w:pPr/>
      <w:r>
        <w:rPr>
          <w:b w:val="1"/>
          <w:bCs w:val="1"/>
        </w:rPr>
        <w:t xml:space="preserve">DÍA 10 </w:t>
      </w:r>
      <w:br/>
      <w:r>
        <w:rPr>
          <w:b w:val="1"/>
          <w:bCs w:val="1"/>
        </w:rPr>
        <w:t xml:space="preserve">PETRA – AMMAN.</w:t>
      </w:r>
      <w:br/>
      <w:r>
        <w:rPr>
          <w:b w:val="1"/>
          <w:bCs w:val="1"/>
        </w:rPr>
        <w:t xml:space="preserve">DESAYUNO. </w:t>
      </w:r>
      <w:r>
        <w:rPr/>
        <w:t xml:space="preserve">Salida hacia Petra, la antigua capital de los nabateos desde el Sec.lll a.C. Visita a monumentos tallados en Piedra Rosa como, por ejemplo, El Khazne (Tumba de los Reyes Nabateos), los obeliscos, los túmulos o el altar (Al Madbah). Continuación a Amman. </w:t>
      </w:r>
      <w:r>
        <w:rPr>
          <w:b w:val="1"/>
          <w:bCs w:val="1"/>
        </w:rPr>
        <w:t xml:space="preserve">(Cena no incluida) Alojamiento.</w:t>
      </w:r>
      <w:br/>
      <w:r>
        <w:rPr/>
        <w:t xml:space="preserve"> </w:t>
      </w:r>
    </w:p>
    <w:p>
      <w:pPr/>
      <w:r>
        <w:rPr>
          <w:b w:val="1"/>
          <w:bCs w:val="1"/>
        </w:rPr>
        <w:t xml:space="preserve">DÍA 11</w:t>
      </w:r>
      <w:br/>
      <w:r>
        <w:rPr>
          <w:b w:val="1"/>
          <w:bCs w:val="1"/>
        </w:rPr>
        <w:t xml:space="preserve">AMAN – AEROPUERTO AMMAN </w:t>
      </w:r>
      <w:br/>
      <w:r>
        <w:rPr>
          <w:b w:val="1"/>
          <w:bCs w:val="1"/>
        </w:rPr>
        <w:t xml:space="preserve">DESAYUNO.</w:t>
      </w:r>
      <w:r>
        <w:rPr/>
        <w:t xml:space="preserve"> A la hora indicada traslado al aeropuerto para tomar el vuelo de regreso.</w:t>
      </w:r>
      <w:br/>
      <w:r>
        <w:rPr/>
        <w:t xml:space="preserve">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Junio: 01, 08, 15, 22, 29</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2.319</w:t>
            </w:r>
          </w:p>
        </w:tc>
        <w:tc>
          <w:tcPr>
            <w:tcW w:w="7800" w:type="dxa"/>
            <w:noWrap/>
          </w:tcPr>
          <w:p>
            <w:pPr>
              <w:jc w:val="start"/>
              <w:spacing w:before="0" w:after="0"/>
            </w:pPr>
            <w:r>
              <w:rPr>
                <w:b w:val="1"/>
                <w:bCs w:val="1"/>
              </w:rPr>
              <w:t xml:space="preserve">3.943</w:t>
            </w:r>
          </w:p>
        </w:tc>
        <w:tc>
          <w:tcPr>
            <w:tcW w:w="7800" w:type="dxa"/>
            <w:noWrap/>
          </w:tcPr>
          <w:p>
            <w:pPr>
              <w:jc w:val="start"/>
              <w:spacing w:before="0" w:after="0"/>
            </w:pPr>
            <w:r>
              <w:rPr>
                <w:b w:val="1"/>
                <w:bCs w:val="1"/>
              </w:rPr>
              <w:t xml:space="preserve">2.519</w:t>
            </w:r>
          </w:p>
        </w:tc>
        <w:tc>
          <w:tcPr>
            <w:tcW w:w="7800" w:type="dxa"/>
            <w:noWrap/>
          </w:tcPr>
          <w:p>
            <w:pPr>
              <w:jc w:val="start"/>
              <w:spacing w:before="0" w:after="0"/>
            </w:pPr>
            <w:r>
              <w:rPr>
                <w:b w:val="1"/>
                <w:bCs w:val="1"/>
              </w:rPr>
              <w:t xml:space="preserve">4.852</w:t>
            </w:r>
          </w:p>
        </w:tc>
        <w:tc>
          <w:tcPr>
            <w:tcW w:w="7800" w:type="dxa"/>
            <w:noWrap/>
          </w:tcPr>
          <w:p>
            <w:pPr>
              <w:jc w:val="start"/>
              <w:spacing w:before="0" w:after="0"/>
            </w:pPr>
            <w:r>
              <w:rPr>
                <w:b w:val="1"/>
                <w:bCs w:val="1"/>
              </w:rPr>
              <w:t xml:space="preserve">3.025</w:t>
            </w:r>
          </w:p>
        </w:tc>
      </w:tr>
      <w:tr>
        <w:trPr/>
        <w:tc>
          <w:tcPr>
            <w:tcW w:w="7800" w:type="dxa"/>
            <w:noWrap/>
          </w:tcPr>
          <w:p>
            <w:pPr>
              <w:jc w:val="start"/>
              <w:spacing w:before="0" w:after="0"/>
            </w:pPr>
            <w:r>
              <w:rPr/>
              <w:t xml:space="preserve">Julio: 06, 13, 20, 27</w:t>
            </w:r>
          </w:p>
        </w:tc>
      </w:tr>
      <w:tr>
        <w:trPr/>
        <w:tc>
          <w:tcPr>
            <w:tcW w:w="7800" w:type="dxa"/>
            <w:noWrap/>
          </w:tcPr>
          <w:p>
            <w:pPr>
              <w:jc w:val="start"/>
              <w:spacing w:before="0" w:after="0"/>
            </w:pPr>
            <w:r>
              <w:rPr/>
              <w:t xml:space="preserve">Diciembre: 07, 14, 21, 28</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Enero: 04, 11, 18, 25</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2.319</w:t>
            </w:r>
          </w:p>
        </w:tc>
        <w:tc>
          <w:tcPr>
            <w:tcW w:w="7800" w:type="dxa"/>
            <w:noWrap/>
          </w:tcPr>
          <w:p>
            <w:pPr>
              <w:jc w:val="start"/>
              <w:spacing w:before="0" w:after="0"/>
            </w:pPr>
            <w:r>
              <w:rPr>
                <w:b w:val="1"/>
                <w:bCs w:val="1"/>
              </w:rPr>
              <w:t xml:space="preserve">3.943</w:t>
            </w:r>
          </w:p>
        </w:tc>
        <w:tc>
          <w:tcPr>
            <w:tcW w:w="7800" w:type="dxa"/>
            <w:noWrap/>
          </w:tcPr>
          <w:p>
            <w:pPr>
              <w:jc w:val="start"/>
              <w:spacing w:before="0" w:after="0"/>
            </w:pPr>
            <w:r>
              <w:rPr>
                <w:b w:val="1"/>
                <w:bCs w:val="1"/>
              </w:rPr>
              <w:t xml:space="preserve">2.519</w:t>
            </w:r>
          </w:p>
        </w:tc>
        <w:tc>
          <w:tcPr>
            <w:tcW w:w="7800" w:type="dxa"/>
            <w:noWrap/>
          </w:tcPr>
          <w:p>
            <w:pPr>
              <w:jc w:val="start"/>
              <w:spacing w:before="0" w:after="0"/>
            </w:pPr>
            <w:r>
              <w:rPr>
                <w:b w:val="1"/>
                <w:bCs w:val="1"/>
              </w:rPr>
              <w:t xml:space="preserve">4.852</w:t>
            </w:r>
          </w:p>
        </w:tc>
        <w:tc>
          <w:tcPr>
            <w:tcW w:w="7800" w:type="dxa"/>
            <w:noWrap/>
          </w:tcPr>
          <w:p>
            <w:pPr>
              <w:jc w:val="start"/>
              <w:spacing w:before="0" w:after="0"/>
            </w:pPr>
            <w:r>
              <w:rPr>
                <w:b w:val="1"/>
                <w:bCs w:val="1"/>
              </w:rPr>
              <w:t xml:space="preserve">3.025</w:t>
            </w:r>
          </w:p>
        </w:tc>
      </w:tr>
      <w:tr>
        <w:trPr/>
        <w:tc>
          <w:tcPr>
            <w:tcW w:w="7800" w:type="dxa"/>
            <w:noWrap/>
          </w:tcPr>
          <w:p>
            <w:pPr>
              <w:jc w:val="start"/>
              <w:spacing w:before="0" w:after="0"/>
            </w:pPr>
            <w:r>
              <w:rPr/>
              <w:t xml:space="preserve">Febrero: 01, 08, 15, 22</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04, 11, 18, 25</w:t>
            </w:r>
          </w:p>
        </w:tc>
        <w:tc>
          <w:tcPr>
            <w:tcW w:w="7800" w:type="dxa"/>
            <w:noWrap/>
          </w:tcPr>
          <w:p>
            <w:pPr>
              <w:jc w:val="start"/>
              <w:spacing w:before="0" w:after="0"/>
            </w:pPr>
            <w:r>
              <w:rPr>
                <w:b w:val="1"/>
                <w:bCs w:val="1"/>
              </w:rPr>
              <w:t xml:space="preserve">3.625</w:t>
            </w:r>
          </w:p>
        </w:tc>
        <w:tc>
          <w:tcPr>
            <w:tcW w:w="7800" w:type="dxa"/>
            <w:noWrap/>
          </w:tcPr>
          <w:p>
            <w:pPr>
              <w:jc w:val="start"/>
              <w:spacing w:before="0" w:after="0"/>
            </w:pPr>
            <w:r>
              <w:rPr>
                <w:b w:val="1"/>
                <w:bCs w:val="1"/>
              </w:rPr>
              <w:t xml:space="preserve">2.439</w:t>
            </w:r>
          </w:p>
        </w:tc>
        <w:tc>
          <w:tcPr>
            <w:tcW w:w="7800" w:type="dxa"/>
            <w:noWrap/>
          </w:tcPr>
          <w:p>
            <w:pPr>
              <w:jc w:val="start"/>
              <w:spacing w:before="0" w:after="0"/>
            </w:pPr>
            <w:r>
              <w:rPr>
                <w:b w:val="1"/>
                <w:bCs w:val="1"/>
              </w:rPr>
              <w:t xml:space="preserve">4.129</w:t>
            </w:r>
          </w:p>
        </w:tc>
        <w:tc>
          <w:tcPr>
            <w:tcW w:w="7800" w:type="dxa"/>
            <w:noWrap/>
          </w:tcPr>
          <w:p>
            <w:pPr>
              <w:jc w:val="start"/>
              <w:spacing w:before="0" w:after="0"/>
            </w:pPr>
            <w:r>
              <w:rPr>
                <w:b w:val="1"/>
                <w:bCs w:val="1"/>
              </w:rPr>
              <w:t xml:space="preserve">2.585</w:t>
            </w:r>
          </w:p>
        </w:tc>
        <w:tc>
          <w:tcPr>
            <w:tcW w:w="7800" w:type="dxa"/>
            <w:noWrap/>
          </w:tcPr>
          <w:p>
            <w:pPr>
              <w:jc w:val="start"/>
              <w:spacing w:before="0" w:after="0"/>
            </w:pPr>
            <w:r>
              <w:rPr>
                <w:b w:val="1"/>
                <w:bCs w:val="1"/>
              </w:rPr>
              <w:t xml:space="preserve">5.172</w:t>
            </w:r>
          </w:p>
        </w:tc>
        <w:tc>
          <w:tcPr>
            <w:tcW w:w="7800" w:type="dxa"/>
            <w:noWrap/>
          </w:tcPr>
          <w:p>
            <w:pPr>
              <w:jc w:val="start"/>
              <w:spacing w:before="0" w:after="0"/>
            </w:pPr>
            <w:r>
              <w:rPr>
                <w:b w:val="1"/>
                <w:bCs w:val="1"/>
              </w:rPr>
              <w:t xml:space="preserve">3.225</w:t>
            </w:r>
          </w:p>
        </w:tc>
      </w:tr>
      <w:tr>
        <w:trPr/>
        <w:tc>
          <w:tcPr>
            <w:tcW w:w="7800" w:type="dxa"/>
            <w:noWrap/>
          </w:tcPr>
          <w:p>
            <w:pPr>
              <w:jc w:val="start"/>
              <w:spacing w:before="0" w:after="0"/>
            </w:pPr>
            <w:r>
              <w:rPr/>
              <w:t xml:space="preserve">Agosto: 03, 10, 17, 24, 31</w:t>
            </w:r>
          </w:p>
        </w:tc>
      </w:tr>
      <w:tr>
        <w:trPr/>
        <w:tc>
          <w:tcPr>
            <w:tcW w:w="7800" w:type="dxa"/>
            <w:noWrap/>
          </w:tcPr>
          <w:p>
            <w:pPr>
              <w:jc w:val="start"/>
              <w:spacing w:before="0" w:after="0"/>
            </w:pPr>
            <w:r>
              <w:rPr/>
              <w:t xml:space="preserve">Septiembre: 07</w:t>
            </w:r>
          </w:p>
        </w:tc>
      </w:tr>
      <w:tr>
        <w:trPr/>
        <w:tc>
          <w:tcPr>
            <w:tcW w:w="7800" w:type="dxa"/>
            <w:noWrap/>
          </w:tcPr>
          <w:p>
            <w:pPr>
              <w:jc w:val="start"/>
              <w:spacing w:before="0" w:after="0"/>
            </w:pPr>
            <w:r>
              <w:rPr/>
              <w:t xml:space="preserve">Octubre: 26</w:t>
            </w:r>
          </w:p>
        </w:tc>
      </w:tr>
      <w:tr>
        <w:trPr/>
        <w:tc>
          <w:tcPr>
            <w:tcW w:w="7800" w:type="dxa"/>
            <w:noWrap/>
          </w:tcPr>
          <w:p>
            <w:pPr>
              <w:jc w:val="start"/>
              <w:spacing w:before="0" w:after="0"/>
            </w:pPr>
            <w:r>
              <w:rPr/>
              <w:t xml:space="preserve">Noviembre: 02, 09, 16, 23, 30</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Septiembre: 14, 21</w:t>
            </w:r>
          </w:p>
        </w:tc>
        <w:tc>
          <w:tcPr>
            <w:tcW w:w="7800" w:type="dxa"/>
            <w:noWrap/>
          </w:tcPr>
          <w:p>
            <w:pPr>
              <w:jc w:val="start"/>
              <w:spacing w:before="0" w:after="0"/>
            </w:pPr>
            <w:r>
              <w:rPr>
                <w:b w:val="1"/>
                <w:bCs w:val="1"/>
              </w:rPr>
              <w:t xml:space="preserve">3.912</w:t>
            </w:r>
          </w:p>
        </w:tc>
        <w:tc>
          <w:tcPr>
            <w:tcW w:w="7800" w:type="dxa"/>
            <w:noWrap/>
          </w:tcPr>
          <w:p>
            <w:pPr>
              <w:jc w:val="start"/>
              <w:spacing w:before="0" w:after="0"/>
            </w:pPr>
            <w:r>
              <w:rPr>
                <w:b w:val="1"/>
                <w:bCs w:val="1"/>
              </w:rPr>
              <w:t xml:space="preserve">2.585</w:t>
            </w:r>
          </w:p>
        </w:tc>
        <w:tc>
          <w:tcPr>
            <w:tcW w:w="7800" w:type="dxa"/>
            <w:noWrap/>
          </w:tcPr>
          <w:p>
            <w:pPr>
              <w:jc w:val="start"/>
              <w:spacing w:before="0" w:after="0"/>
            </w:pPr>
            <w:r>
              <w:rPr>
                <w:b w:val="1"/>
                <w:bCs w:val="1"/>
              </w:rPr>
              <w:t xml:space="preserve">4.615</w:t>
            </w:r>
          </w:p>
        </w:tc>
        <w:tc>
          <w:tcPr>
            <w:tcW w:w="7800" w:type="dxa"/>
            <w:noWrap/>
          </w:tcPr>
          <w:p>
            <w:pPr>
              <w:jc w:val="start"/>
              <w:spacing w:before="0" w:after="0"/>
            </w:pPr>
            <w:r>
              <w:rPr>
                <w:b w:val="1"/>
                <w:bCs w:val="1"/>
              </w:rPr>
              <w:t xml:space="preserve">2.865</w:t>
            </w:r>
          </w:p>
        </w:tc>
        <w:tc>
          <w:tcPr>
            <w:tcW w:w="7800" w:type="dxa"/>
            <w:noWrap/>
          </w:tcPr>
          <w:p>
            <w:pPr>
              <w:jc w:val="start"/>
              <w:spacing w:before="0" w:after="0"/>
            </w:pPr>
            <w:r>
              <w:rPr>
                <w:b w:val="1"/>
                <w:bCs w:val="1"/>
              </w:rPr>
              <w:t xml:space="preserve">5.385</w:t>
            </w:r>
          </w:p>
        </w:tc>
        <w:tc>
          <w:tcPr>
            <w:tcW w:w="7800" w:type="dxa"/>
            <w:noWrap/>
          </w:tcPr>
          <w:p>
            <w:pPr>
              <w:jc w:val="start"/>
              <w:spacing w:before="0" w:after="0"/>
            </w:pPr>
            <w:r>
              <w:rPr>
                <w:b w:val="1"/>
                <w:bCs w:val="1"/>
              </w:rPr>
              <w:t xml:space="preserve">3.372</w:t>
            </w:r>
          </w:p>
        </w:tc>
      </w:tr>
      <w:tr>
        <w:trPr/>
        <w:tc>
          <w:tcPr>
            <w:tcW w:w="7800" w:type="dxa"/>
            <w:noWrap/>
          </w:tcPr>
          <w:p>
            <w:pPr>
              <w:jc w:val="start"/>
              <w:spacing w:before="0" w:after="0"/>
            </w:pPr>
            <w:r>
              <w:rPr/>
              <w:t xml:space="preserve">Octubre: 05, 12, 19</w:t>
            </w:r>
          </w:p>
        </w:tc>
      </w:tr>
      <w:tr>
        <w:trPr/>
        <w:tc>
          <w:tcPr>
            <w:tcW w:w="7800" w:type="dxa"/>
            <w:noWrap/>
          </w:tcPr>
          <w:p>
            <w:pPr>
              <w:jc w:val="start"/>
              <w:spacing w:before="0" w:after="0"/>
            </w:pPr>
            <w:r>
              <w:rPr/>
              <w:t xml:space="preserve"> </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Verifcar la disponibilidad de las salidas con nuestros asesores.</w:t>
      </w:r>
      <w:br/>
      <w:r>
        <w:rPr/>
        <w:t xml:space="preserve">• Política de niños: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BRONCE</w:t>
            </w:r>
          </w:p>
        </w:tc>
        <w:tc>
          <w:tcPr>
            <w:tcW w:w="7800" w:type="dxa"/>
            <w:shd w:val="clear" w:fill="152441"/>
            <w:noWrap/>
          </w:tcPr>
          <w:p>
            <w:pPr>
              <w:jc w:val="start"/>
              <w:spacing w:before="0" w:after="0"/>
            </w:pPr>
            <w:r>
              <w:rPr>
                <w:color w:val="ffffff"/>
                <w:sz w:val="21"/>
                <w:szCs w:val="21"/>
                <w:b w:val="1"/>
                <w:bCs w:val="1"/>
                <w:shd w:val="clear" w:fill="152441"/>
              </w:rPr>
              <w:t xml:space="preserve">PLATA</w:t>
            </w:r>
          </w:p>
        </w:tc>
        <w:tc>
          <w:tcPr>
            <w:tcW w:w="7800" w:type="dxa"/>
            <w:shd w:val="clear" w:fill="152441"/>
            <w:noWrap/>
          </w:tcPr>
          <w:p>
            <w:pPr>
              <w:jc w:val="start"/>
              <w:spacing w:before="0" w:after="0"/>
            </w:pPr>
            <w:r>
              <w:rPr>
                <w:color w:val="ffffff"/>
                <w:sz w:val="21"/>
                <w:szCs w:val="21"/>
                <w:b w:val="1"/>
                <w:bCs w:val="1"/>
                <w:shd w:val="clear" w:fill="152441"/>
              </w:rPr>
              <w:t xml:space="preserve">ORO</w:t>
            </w:r>
          </w:p>
        </w:tc>
      </w:tr>
      <w:tr>
        <w:trPr/>
        <w:tc>
          <w:tcPr>
            <w:tcW w:w="7800" w:type="dxa"/>
            <w:noWrap/>
          </w:tcPr>
          <w:p>
            <w:pPr>
              <w:jc w:val="start"/>
              <w:spacing w:before="0" w:after="0"/>
            </w:pPr>
            <w:r>
              <w:rPr>
                <w:b w:val="1"/>
                <w:bCs w:val="1"/>
              </w:rPr>
              <w:t xml:space="preserve">JERUSALEN</w:t>
            </w:r>
          </w:p>
        </w:tc>
        <w:tc>
          <w:tcPr>
            <w:tcW w:w="7800" w:type="dxa"/>
            <w:noWrap/>
          </w:tcPr>
          <w:p>
            <w:pPr>
              <w:jc w:val="start"/>
              <w:spacing w:before="0" w:after="0"/>
            </w:pPr>
            <w:r>
              <w:rPr/>
              <w:t xml:space="preserve">Prima Park Royal Plaza</w:t>
            </w:r>
          </w:p>
        </w:tc>
        <w:tc>
          <w:tcPr>
            <w:tcW w:w="7800" w:type="dxa"/>
            <w:noWrap/>
          </w:tcPr>
          <w:p>
            <w:pPr>
              <w:jc w:val="start"/>
              <w:spacing w:before="0" w:after="0"/>
            </w:pPr>
            <w:r>
              <w:rPr/>
              <w:t xml:space="preserve">Grand Court Ramada</w:t>
            </w:r>
          </w:p>
        </w:tc>
        <w:tc>
          <w:tcPr>
            <w:tcW w:w="7800" w:type="dxa"/>
            <w:noWrap/>
          </w:tcPr>
          <w:p>
            <w:pPr>
              <w:jc w:val="start"/>
              <w:spacing w:before="0" w:after="0"/>
            </w:pPr>
            <w:r>
              <w:rPr/>
              <w:t xml:space="preserve">Leonardo Plaza Vert Jerusalén Hotel</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r>
        <w:trPr/>
        <w:tc>
          <w:tcPr>
            <w:tcW w:w="7800" w:type="dxa"/>
            <w:noWrap/>
          </w:tcPr>
          <w:p>
            <w:pPr>
              <w:jc w:val="start"/>
              <w:spacing w:before="0" w:after="0"/>
            </w:pPr>
            <w:r>
              <w:rPr>
                <w:b w:val="1"/>
                <w:bCs w:val="1"/>
              </w:rPr>
              <w:t xml:space="preserve">AMMAN</w:t>
            </w:r>
          </w:p>
        </w:tc>
        <w:tc>
          <w:tcPr>
            <w:tcW w:w="7800" w:type="dxa"/>
            <w:noWrap/>
          </w:tcPr>
          <w:p>
            <w:pPr>
              <w:jc w:val="start"/>
              <w:spacing w:before="0" w:after="0"/>
            </w:pPr>
            <w:r>
              <w:rPr/>
              <w:t xml:space="preserve">Mena Tyche</w:t>
            </w:r>
          </w:p>
        </w:tc>
        <w:tc>
          <w:tcPr>
            <w:tcW w:w="7800" w:type="dxa"/>
            <w:noWrap/>
          </w:tcPr>
          <w:p>
            <w:pPr>
              <w:jc w:val="start"/>
              <w:spacing w:before="0" w:after="0"/>
            </w:pPr>
            <w:r>
              <w:rPr/>
              <w:t xml:space="preserve">Bristol</w:t>
            </w:r>
          </w:p>
        </w:tc>
        <w:tc>
          <w:tcPr>
            <w:tcW w:w="7800" w:type="dxa"/>
            <w:noWrap/>
          </w:tcPr>
          <w:p>
            <w:pPr>
              <w:jc w:val="start"/>
              <w:spacing w:before="0" w:after="0"/>
            </w:pPr>
            <w:r>
              <w:rPr/>
              <w:t xml:space="preserve">Crowne Plaza</w:t>
            </w:r>
          </w:p>
        </w:tc>
      </w:tr>
      <w:tr>
        <w:trPr/>
        <w:tc>
          <w:tcPr>
            <w:tcW w:w="7800" w:type="dxa"/>
            <w:noWrap/>
          </w:tcPr>
          <w:p>
            <w:pPr>
              <w:jc w:val="start"/>
              <w:spacing w:before="0" w:after="0"/>
            </w:pPr>
            <w:r>
              <w:rPr>
                <w:b w:val="1"/>
                <w:bCs w:val="1"/>
              </w:rPr>
              <w:t xml:space="preserve">PETRA</w:t>
            </w:r>
          </w:p>
        </w:tc>
        <w:tc>
          <w:tcPr>
            <w:tcW w:w="7800" w:type="dxa"/>
            <w:noWrap/>
          </w:tcPr>
          <w:p>
            <w:pPr>
              <w:jc w:val="start"/>
              <w:spacing w:before="0" w:after="0"/>
            </w:pPr>
            <w:r>
              <w:rPr/>
              <w:t xml:space="preserve">Petra Castle</w:t>
            </w:r>
          </w:p>
        </w:tc>
        <w:tc>
          <w:tcPr>
            <w:tcW w:w="7800" w:type="dxa"/>
            <w:noWrap/>
          </w:tcPr>
          <w:p>
            <w:pPr>
              <w:jc w:val="start"/>
              <w:spacing w:before="0" w:after="0"/>
            </w:pPr>
            <w:r>
              <w:rPr/>
              <w:t xml:space="preserve">Hyatt Zaman</w:t>
            </w:r>
          </w:p>
        </w:tc>
        <w:tc>
          <w:tcPr>
            <w:tcW w:w="7800" w:type="dxa"/>
            <w:noWrap/>
          </w:tcPr>
          <w:p>
            <w:pPr>
              <w:jc w:val="start"/>
              <w:spacing w:before="0" w:after="0"/>
            </w:pPr>
            <w:r>
              <w:rPr/>
              <w:t xml:space="preserve">Hyatt Zaman</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Alojamiento en hoteles según la categoría seleccionada. </w:t>
      </w:r>
    </w:p>
    <w:p>
      <w:pPr>
        <w:numPr>
          <w:ilvl w:val="1"/>
          <w:numId w:val="1"/>
        </w:numPr>
      </w:pPr>
      <w:r>
        <w:rPr/>
        <w:t xml:space="preserve">03 noches de alojamiento con desayuno incluido en Jerusalén.</w:t>
      </w:r>
    </w:p>
    <w:p>
      <w:pPr>
        <w:numPr>
          <w:ilvl w:val="1"/>
          <w:numId w:val="1"/>
        </w:numPr>
      </w:pPr>
      <w:r>
        <w:rPr/>
        <w:t xml:space="preserve">02 noches de alojamiento con desayuno incluido en Haifa.</w:t>
      </w:r>
    </w:p>
    <w:p>
      <w:pPr>
        <w:numPr>
          <w:ilvl w:val="1"/>
          <w:numId w:val="1"/>
        </w:numPr>
      </w:pPr>
      <w:r>
        <w:rPr/>
        <w:t xml:space="preserve">02 noches de alojamiento con desayuno incluido en Tel Aviv.</w:t>
      </w:r>
    </w:p>
    <w:p>
      <w:pPr>
        <w:numPr>
          <w:ilvl w:val="1"/>
          <w:numId w:val="1"/>
        </w:numPr>
      </w:pPr>
      <w:r>
        <w:rPr/>
        <w:t xml:space="preserve">01 noche de hospedaje con desayuno y cena en Petra.</w:t>
      </w:r>
    </w:p>
    <w:p>
      <w:pPr>
        <w:numPr>
          <w:ilvl w:val="1"/>
          <w:numId w:val="1"/>
        </w:numPr>
      </w:pPr>
      <w:r>
        <w:rPr/>
        <w:t xml:space="preserve">02 noches de alojamiento con desayuno y cena en Amman.</w:t>
      </w:r>
    </w:p>
    <w:p>
      <w:pPr>
        <w:numPr>
          <w:ilvl w:val="1"/>
          <w:numId w:val="1"/>
        </w:numPr>
      </w:pPr>
      <w:r>
        <w:rPr/>
        <w:t xml:space="preserve">08 días de 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guía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281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2025-07-09T16:07:50+00:00</dcterms:created>
  <dcterms:modified xsi:type="dcterms:W3CDTF">2025-07-09T16:07:50+00:00</dcterms:modified>
</cp:coreProperties>
</file>

<file path=docProps/custom.xml><?xml version="1.0" encoding="utf-8"?>
<Properties xmlns="http://schemas.openxmlformats.org/officeDocument/2006/custom-properties" xmlns:vt="http://schemas.openxmlformats.org/officeDocument/2006/docPropsVTypes"/>
</file>