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HASTA EL EGEO TURQUIA I                    </w:t>
      </w:r>
    </w:p>
    <w:p>
      <w:pPr/>
      <w:r>
        <w:rPr>
          <w:rFonts w:ascii="Arial" w:hAnsi="Arial" w:eastAsia="Arial" w:cs="Arial"/>
          <w:color w:val="light"/>
          <w:sz w:val="22"/>
          <w:szCs w:val="22"/>
          <w:b w:val="0"/>
          <w:bCs w:val="0"/>
        </w:rPr>
        <w:t xml:space="preserve">MTC - 28581</w:t>
      </w:r>
    </w:p>
    <w:p>
      <w:pPr/>
      <w:r>
        <w:rPr>
          <w:rFonts w:ascii="Arial" w:hAnsi="Arial" w:eastAsia="Arial" w:cs="Arial"/>
          <w:color w:val="light"/>
          <w:sz w:val="22"/>
          <w:szCs w:val="22"/>
          <w:b w:val="0"/>
          <w:bCs w:val="0"/>
        </w:rPr>
        <w:t xml:space="preserve">11 Días y 10 Noches</w:t>
      </w:r>
    </w:p>
    <w:p/>
    <w:p/>
    <w:p>
      <w:pPr>
        <w:jc w:val="center"/>
        <w:spacing w:before="450"/>
      </w:pPr>
      <w:r>
        <w:rPr>
          <w:sz w:val="40.5"/>
          <w:szCs w:val="40.5"/>
        </w:rPr>
        <w:t xml:space="preserve">Desde $1099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Grecia,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Atenas, </w:t>
      </w:r>
      <w:r>
        <w:rPr/>
        <w:t xml:space="preserve">Mykonos, </w:t>
      </w:r>
      <w:r>
        <w:rPr/>
        <w:t xml:space="preserve">Santorini, </w:t>
      </w:r>
      <w:r>
        <w:rPr/>
        <w:t xml:space="preserve">Capadocia, </w:t>
      </w:r>
      <w:r>
        <w:rPr/>
        <w:t xml:space="preserve">Estambul, </w:t>
      </w:r>
      <w:r>
        <w:rPr/>
        <w:t xml:space="preserve">Kusadasi, </w:t>
      </w:r>
      <w:r>
        <w:rPr/>
        <w:t xml:space="preserve">Pamukkale,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LLEGADA ESTAMBUL.</w:t>
      </w:r>
      <w:br/>
      <w:r>
        <w:rPr/>
        <w:t xml:space="preserve">Bienvenido a Türkiye, un país con una historia y una cultura únicas, donde vivirás unas vacaciones extraordinarias. Un nuevo mundo de experiencias te espera, donde las diferencias de Oriente y Occidente se combinan en un sólo país. Llegada en vuelo internacional al espectacular Aeropuerto de Estambul (IST). Inaugurado en abril de 2019, hoy es el más grande de Europa, y uno de los más grandes del mundo. Luego de desembarcar, pasar por migración y reclamar equipaje, deberás dirigirte a nuestro punto de encuentro en la puerta 8 de salida. Seguido de esto, encuentro con nuestros conductores para el traslado al hotel. Llegada y acomodación. Tiempo libre para descansar.</w:t>
      </w:r>
    </w:p>
    <w:p>
      <w:pPr/>
      <w:r>
        <w:rPr/>
        <w:t xml:space="preserve">Nota: En caso de no encontrar a nuestros representantes en el punto de encuentro, deberán entrar en contacto con nuestro número de emergencias.</w:t>
      </w:r>
    </w:p>
    <w:p>
      <w:pPr/>
      <w:r>
        <w:rPr>
          <w:b w:val="1"/>
          <w:bCs w:val="1"/>
        </w:rPr>
        <w:t xml:space="preserve">DÍA 02 ESTAMBUL.</w:t>
      </w:r>
      <w:br/>
      <w:r>
        <w:rPr/>
        <w:t xml:space="preserve">Desayuno. Día libre. Posibilidad de tomar la excursión opcional: “PERLAS DEL CUERNO DE ORO Y BÓSFORO” Salida aprox. a las 08:00 (horario a ser confirmado por el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w:t>
      </w:r>
    </w:p>
    <w:p>
      <w:pP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ESTAMBUL.</w:t>
      </w:r>
      <w:br/>
      <w:r>
        <w:rPr/>
        <w:t xml:space="preserve">Desayuno. Día libre. Posibilidad de tomar la excursión opcional “JOYAS DE CONSTANTINOPLA” (incluye almuerzo en restaurante de comida típica): 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Alojamiento.</w:t>
      </w:r>
    </w:p>
    <w:p>
      <w:pPr/>
      <w:r>
        <w:rPr>
          <w:b w:val="1"/>
          <w:bCs w:val="1"/>
        </w:rPr>
        <w:t xml:space="preserve">Nota: </w:t>
      </w:r>
      <w:r>
        <w:rPr/>
        <w:t xml:space="preserve">Para el ingreso a la Santa Sofía consultar suplemento.</w:t>
      </w:r>
    </w:p>
    <w:p>
      <w:pPr/>
      <w:r>
        <w:rPr>
          <w:b w:val="1"/>
          <w:bCs w:val="1"/>
        </w:rPr>
        <w:t xml:space="preserve">DÍA 04 ESTAMBUL – ANKARA – CAPADOCIA.</w:t>
      </w:r>
      <w:br/>
      <w:r>
        <w:rPr/>
        <w:t xml:space="preserve">Desayuno "lunch-box" y salida temprano (aprox. a las 6:00 - horario a ser confirmado por el guía) hacia Ankara para una visita panorámica de la capital de Türkiye y el Mausoleo de Atatürk, el fundador de la República. En el camino hacia Capadocia, se podrá contemplar el Lago Salado, donde se hará una parada para tomar fotografías en este espectacular lugar, enseguida visita a un Caravanserai, hospedaje de la época de la Ruta de la Seda. Cena en el hotel. Alojamiento.</w:t>
      </w:r>
    </w:p>
    <w:p>
      <w:pPr/>
      <w:r>
        <w:rPr>
          <w:b w:val="1"/>
          <w:bCs w:val="1"/>
        </w:rPr>
        <w:t xml:space="preserve">DÍA 05 CAPADOCIA.</w:t>
      </w:r>
      <w:br/>
      <w:r>
        <w:rPr/>
        <w:t xml:space="preserve">Desayuno. Salida aprox. a las 08:00h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y alojamiento.</w:t>
      </w:r>
    </w:p>
    <w:p>
      <w:pPr/>
      <w:r>
        <w:rPr/>
        <w:t xml:space="preserve">Programas opcionales en Capadocia: “NOCHE TURCA” Presentación de bailes folclóricos en una cueva típica con bebidas locales; “JEEP SAFARI” aventura por los valles místicos de la región con paradas para tomar las mejores fotos; “PASEO EN GLOBO” temprano por la mañana para admirar uno de los más bellos paisajes de la tierra.</w:t>
      </w:r>
    </w:p>
    <w:p>
      <w:pPr/>
      <w:r>
        <w:rPr>
          <w:b w:val="1"/>
          <w:bCs w:val="1"/>
        </w:rPr>
        <w:t xml:space="preserve">DÍA 06 CAPADOCIA – PAMUKKALE.</w:t>
      </w:r>
      <w:br/>
      <w:r>
        <w:rPr/>
        <w:t xml:space="preserve">Desayuno. Salida aprox. a las 06:00h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Cena en el hotel. Alojamiento.</w:t>
      </w:r>
    </w:p>
    <w:p>
      <w:pPr/>
      <w:r>
        <w:rPr>
          <w:b w:val="1"/>
          <w:bCs w:val="1"/>
        </w:rPr>
        <w:t xml:space="preserve">DÍA 07 PAMUKKALE – SELCUK – IZMIR/KUSADASI.</w:t>
      </w:r>
      <w:br/>
      <w:r>
        <w:rPr/>
        <w:t xml:space="preserve">Desayuno. Salida aprox. a las 08:00h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Cena en el hotel. Alojamiento.</w:t>
      </w:r>
    </w:p>
    <w:p>
      <w:pPr/>
      <w:r>
        <w:rPr>
          <w:b w:val="1"/>
          <w:bCs w:val="1"/>
        </w:rPr>
        <w:t xml:space="preserve">Nota: </w:t>
      </w:r>
      <w:r>
        <w:rPr/>
        <w:t xml:space="preserve">El hospedaje podrá ser en Izmir o Kuşadasi dependiendo de la temporada.</w:t>
      </w:r>
    </w:p>
    <w:p>
      <w:pPr/>
      <w:r>
        <w:rPr>
          <w:b w:val="1"/>
          <w:bCs w:val="1"/>
        </w:rPr>
        <w:t xml:space="preserve">DÍA 08 KUSADASI/IZMIR – CESME/KUSADASI – NAVEGACIÓN – PIREO (ATENAS).</w:t>
      </w:r>
      <w:br/>
      <w:r>
        <w:rPr/>
        <w:t xml:space="preserve">Desayuno. Traslado temprano al puerto* y tiempo libre hasta la hora del embarque a las 18:00 h, donde debe realizar el paso por migración** y check in presentando sus respectivos pasaportes para embarcarse en un maravilloso crucero de 5 días/4 noches en régimen de pensión completa, comenzaremos a navegar hacia nuestro primer destino Pireo (Atenas).</w:t>
      </w:r>
    </w:p>
    <w:p>
      <w:pPr/>
      <w:r>
        <w:rPr/>
        <w:t xml:space="preserve">→ Los horarios e itinerarios de los cruceros están sujetos a cambios sin previo aviso dependiendo del clima y las condiciones operativas.</w:t>
      </w:r>
      <w:br/>
      <w:r>
        <w:rPr/>
        <w:t xml:space="preserve">→ Este itinerario comenzando por PIRAEUS (ATENAS) con hora de embarque 18.00 saliendo de Çeşme, se operará desde el 29 de mayo hasta el 31 de agosto de 2025. </w:t>
      </w:r>
      <w:br/>
      <w:r>
        <w:rPr/>
        <w:t xml:space="preserve">Para las siguientes fechas de operación del Crucero MIRAY: 20 de marzo al 25 de mayo de 2025 y del 04 de septiembre al 16 de octubre de 2025 saliendo de Kusadasi, la hora de embarque será a las 12.00 y como primera parada incluirá la Isla de PATMOS.</w:t>
      </w:r>
    </w:p>
    <w:p>
      <w:pPr/>
      <w:r>
        <w:rPr/>
        <w:t xml:space="preserve">→ La fecha de embarque del 25 de mayo de 2025 saliendo de Kusadasi tendrá desembarque en Çeşme y la fecha de embarque del 31 de agosto saliendo de Çeşme tendrá desembarque en Kusadasi.</w:t>
      </w:r>
    </w:p>
    <w:p>
      <w:pPr/>
      <w:r>
        <w:rPr/>
        <w:t xml:space="preserve">*Los pasajeros no tendrán guía durante el traslado al crucero ni dentro del mismo; sin embargo, contarán con asistencia a bordo y, si desean realizar excursiones opcionales ofrecidas por el crucero, estas sí incluirán guía.</w:t>
      </w:r>
    </w:p>
    <w:p>
      <w:pPr/>
      <w:r>
        <w:rPr>
          <w:b w:val="1"/>
          <w:bCs w:val="1"/>
        </w:rPr>
        <w:t xml:space="preserve">DÍA 09 PIREO (ATENAS) – MYKONOS.</w:t>
      </w:r>
      <w:br/>
      <w:r>
        <w:rPr/>
        <w:t xml:space="preserve">Desayuno. Llegada a Atenas a las 7:00 horas. Posibilidad de realizar excursiones opcionales para conocer la mágica ciudad de Atenas, que es la capital de Grecia y la mayor urbe del país, con una población aproximada de 4.000.000 de habitantes. La ciudad, hogar de magníficos monumentos venerados por los antiguos dioses griegos y cuna de la antigua cultura helénica y griega, fue en su tiempo el centro de la economía, la política, la vida social y la filosofía. Atenas, que debe su nombre a la diosa más importante de la mitología, Atenea, es conocida como la primera ciudad que instauró la democracia. Salida a las 12:00 hacia Mykonos. Mykonos es una isla del grupo de las Cícladas en el mar Egeo. Es popularmente conocida por su ambiente de fiestas de verano. Playas como Paradise y Super Paradise tienen bares donde retumba la música. Los enormes clubes de baile atraen a DJ famosos de todo el mundo y suelen permanecer abiertos hasta después del amanecer. Los monumentos icónicos incluyen una hilera de molinos de viento del siglo XVI, que se ubican en una colina sobre la ciudad de Mykonos. Partida a Santorini.</w:t>
      </w:r>
    </w:p>
    <w:p>
      <w:pPr/>
      <w:r>
        <w:rPr>
          <w:b w:val="1"/>
          <w:bCs w:val="1"/>
        </w:rPr>
        <w:t xml:space="preserve">DÍA 10 SANTORINI – CESME/KUSADASI.</w:t>
      </w:r>
      <w:br/>
      <w:r>
        <w:rPr/>
        <w:t xml:space="preserve">Desayuno. Llegada a Santorini a las 09:00 horas, es famosa por sus espectaculares vistas. Oportunidad de realizar una excursión opcional para conocer Santorini, la isla más meridional del archipiélago de las Cícladas, situado al sur del mar Egeo. En el año 1500 a.C., la isla y los islotes circundantes se formaron como consecuencia de una gran erupción volcánica. Se cree que Platón hizo referencia a esta catástrofe en un monumento sobre el continente de la Atlántida. </w:t>
      </w:r>
      <w:br/>
      <w:r>
        <w:rPr/>
        <w:t xml:space="preserve">Las iglesias de cúpulas azules son los rasgos más característicos de Santorini. Durante las excursiones adicionales organizadas por Miray Cruises (previa solicitud), podrá contemplar toda la isla desde las montañas de San Elías, que es el punto más alto de la isla, visitar los singulares pueblos de Oia y Fira, disfrutar del mar en las playas cubiertas de arena volcánica y, en el pueblo de Megalochori, degustar vino elaborado con uvas autóctonas de la isla. Partida a las 17:00 de la tarde hacia Kusadasi.</w:t>
      </w:r>
    </w:p>
    <w:p>
      <w:pPr/>
      <w:r>
        <w:rPr>
          <w:b w:val="1"/>
          <w:bCs w:val="1"/>
        </w:rPr>
        <w:t xml:space="preserve">DÍA 11 CESME/KUSADASI – IZMIR.</w:t>
      </w:r>
      <w:br/>
      <w:r>
        <w:rPr/>
        <w:t xml:space="preserve">Desayuno. Llegada al puerto de Çeşme/Kusadasi en Türkiye a las 06:00. Desembarque del crucero y traslado al aeropuerto de Izmir (ADB) para tomar un vuelo de partida. Fin de nuestros servicios.</w:t>
      </w:r>
    </w:p>
    <w:p>
      <w:pPr/>
      <w:r>
        <w:rPr>
          <w:b w:val="1"/>
          <w:bCs w:val="1"/>
        </w:rPr>
        <w:t xml:space="preserve">*(EL VUELO NO ESTÁ INCLUIDO</w:t>
      </w:r>
      <w:r>
        <w:rPr/>
        <w:t xml:space="preserve"> - Recomendamos que en caso de necesitar un vuelo doméstico después del desembarque este debe ser emitido después de las 13:00 horas).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MES</w:t>
            </w:r>
          </w:p>
        </w:tc>
        <w:tc>
          <w:tcPr>
            <w:tcW w:w="7800" w:type="dxa"/>
            <w:shd w:val="clear" w:fill="152441"/>
            <w:noWrap/>
          </w:tcPr>
          <w:p>
            <w:pPr>
              <w:jc w:val="start"/>
              <w:spacing w:before="0" w:after="0"/>
            </w:pPr>
            <w:r>
              <w:rPr>
                <w:color w:val="ffffff"/>
                <w:sz w:val="21"/>
                <w:szCs w:val="21"/>
                <w:b w:val="1"/>
                <w:bCs w:val="1"/>
                <w:shd w:val="clear" w:fill="152441"/>
              </w:rPr>
              <w:t xml:space="preserve">AÑO</w:t>
            </w:r>
          </w:p>
        </w:tc>
        <w:tc>
          <w:tcPr>
            <w:tcW w:w="7800" w:type="dxa"/>
            <w:shd w:val="clear" w:fill="152441"/>
            <w:gridSpan w:val="5"/>
            <w:noWrap/>
          </w:tcPr>
          <w:p>
            <w:pPr>
              <w:jc w:val="start"/>
              <w:spacing w:before="0" w:after="0"/>
            </w:pPr>
            <w:r>
              <w:rPr>
                <w:color w:val="ffffff"/>
                <w:sz w:val="21"/>
                <w:szCs w:val="21"/>
                <w:b w:val="1"/>
                <w:bCs w:val="1"/>
                <w:shd w:val="clear" w:fill="152441"/>
              </w:rPr>
              <w:t xml:space="preserve">FECHA DE LLEGADA A ESTAMBUL</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7"/>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CATEGORIA/</w:t>
            </w:r>
            <w:r>
              <w:rPr/>
              <w:t xml:space="preserve"> </w:t>
            </w:r>
            <w:r>
              <w:rPr>
                <w:b w:val="1"/>
                <w:bCs w:val="1"/>
              </w:rPr>
              <w:t xml:space="preserve">TEMPORADA</w:t>
            </w:r>
          </w:p>
        </w:tc>
        <w:tc>
          <w:tcPr>
            <w:tcW w:w="7800" w:type="dxa"/>
            <w:gridSpan w:val="3"/>
            <w:noWrap/>
          </w:tcPr>
          <w:p>
            <w:pPr>
              <w:jc w:val="start"/>
              <w:spacing w:before="0" w:after="0"/>
            </w:pPr>
            <w:r>
              <w:rPr>
                <w:b w:val="1"/>
                <w:bCs w:val="1"/>
              </w:rPr>
              <w:t xml:space="preserve">PLATINO</w:t>
            </w:r>
          </w:p>
        </w:tc>
        <w:tc>
          <w:tcPr>
            <w:tcW w:w="7800" w:type="dxa"/>
            <w:gridSpan w:val="3"/>
            <w:noWrap/>
          </w:tcPr>
          <w:p>
            <w:pPr>
              <w:jc w:val="start"/>
              <w:spacing w:before="0" w:after="0"/>
            </w:pPr>
            <w:r>
              <w:rPr>
                <w:b w:val="1"/>
                <w:bCs w:val="1"/>
              </w:rPr>
              <w:t xml:space="preserve">ORO</w:t>
            </w:r>
          </w:p>
        </w:tc>
      </w:tr>
      <w:tr>
        <w:trPr/>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SGL</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USD 1.239</w:t>
            </w:r>
          </w:p>
        </w:tc>
        <w:tc>
          <w:tcPr>
            <w:tcW w:w="7800" w:type="dxa"/>
            <w:noWrap/>
          </w:tcPr>
          <w:p>
            <w:pPr>
              <w:jc w:val="start"/>
              <w:spacing w:before="0" w:after="0"/>
            </w:pPr>
            <w:r>
              <w:rPr/>
              <w:t xml:space="preserve">USD 1.099</w:t>
            </w:r>
          </w:p>
        </w:tc>
        <w:tc>
          <w:tcPr>
            <w:tcW w:w="7800" w:type="dxa"/>
            <w:noWrap/>
          </w:tcPr>
          <w:p>
            <w:pPr>
              <w:jc w:val="start"/>
              <w:spacing w:before="0" w:after="0"/>
            </w:pPr>
            <w:r>
              <w:rPr/>
              <w:t xml:space="preserve">USD 1.699</w:t>
            </w:r>
          </w:p>
        </w:tc>
        <w:tc>
          <w:tcPr>
            <w:tcW w:w="7800" w:type="dxa"/>
            <w:noWrap/>
          </w:tcPr>
          <w:p>
            <w:pPr>
              <w:jc w:val="start"/>
              <w:spacing w:before="0" w:after="0"/>
            </w:pPr>
            <w:r>
              <w:rPr/>
              <w:t xml:space="preserve">USD 1.379</w:t>
            </w:r>
          </w:p>
        </w:tc>
        <w:tc>
          <w:tcPr>
            <w:tcW w:w="7800" w:type="dxa"/>
            <w:noWrap/>
          </w:tcPr>
          <w:p>
            <w:pPr>
              <w:jc w:val="start"/>
              <w:spacing w:before="0" w:after="0"/>
            </w:pPr>
            <w:r>
              <w:rPr/>
              <w:t xml:space="preserve">USD 1.199</w:t>
            </w:r>
          </w:p>
        </w:tc>
        <w:tc>
          <w:tcPr>
            <w:tcW w:w="7800" w:type="dxa"/>
            <w:noWrap/>
          </w:tcPr>
          <w:p>
            <w:pPr>
              <w:jc w:val="start"/>
              <w:spacing w:before="0" w:after="0"/>
            </w:pPr>
            <w:r>
              <w:rPr/>
              <w:t xml:space="preserve">USD 1.969</w:t>
            </w:r>
          </w:p>
        </w:tc>
      </w:tr>
      <w:tr>
        <w:trPr/>
        <w:tc>
          <w:tcPr>
            <w:tcW w:w="7800" w:type="dxa"/>
            <w:noWrap/>
          </w:tcPr>
          <w:p>
            <w:pPr>
              <w:jc w:val="start"/>
              <w:spacing w:before="0" w:after="0"/>
            </w:pPr>
            <w:r>
              <w:rPr/>
              <w:t xml:space="preserve">Abril – Mayo – Octubre.</w:t>
            </w:r>
          </w:p>
        </w:tc>
        <w:tc>
          <w:tcPr>
            <w:tcW w:w="7800" w:type="dxa"/>
            <w:noWrap/>
          </w:tcPr>
          <w:p>
            <w:pPr>
              <w:jc w:val="start"/>
              <w:spacing w:before="0" w:after="0"/>
            </w:pPr>
            <w:r>
              <w:rPr/>
              <w:t xml:space="preserve">USD 1.289</w:t>
            </w:r>
          </w:p>
        </w:tc>
        <w:tc>
          <w:tcPr>
            <w:tcW w:w="7800" w:type="dxa"/>
            <w:noWrap/>
          </w:tcPr>
          <w:p>
            <w:pPr>
              <w:jc w:val="start"/>
              <w:spacing w:before="0" w:after="0"/>
            </w:pPr>
            <w:r>
              <w:rPr/>
              <w:t xml:space="preserve">USD 1.149</w:t>
            </w:r>
          </w:p>
        </w:tc>
        <w:tc>
          <w:tcPr>
            <w:tcW w:w="7800" w:type="dxa"/>
            <w:noWrap/>
          </w:tcPr>
          <w:p>
            <w:pPr>
              <w:jc w:val="start"/>
              <w:spacing w:before="0" w:after="0"/>
            </w:pPr>
            <w:r>
              <w:rPr/>
              <w:t xml:space="preserve">USD 1.779</w:t>
            </w:r>
          </w:p>
        </w:tc>
        <w:tc>
          <w:tcPr>
            <w:tcW w:w="7800" w:type="dxa"/>
            <w:noWrap/>
          </w:tcPr>
          <w:p>
            <w:pPr>
              <w:jc w:val="start"/>
              <w:spacing w:before="0" w:after="0"/>
            </w:pPr>
            <w:r>
              <w:rPr/>
              <w:t xml:space="preserve">USD 1.519</w:t>
            </w:r>
          </w:p>
        </w:tc>
        <w:tc>
          <w:tcPr>
            <w:tcW w:w="7800" w:type="dxa"/>
            <w:noWrap/>
          </w:tcPr>
          <w:p>
            <w:pPr>
              <w:jc w:val="start"/>
              <w:spacing w:before="0" w:after="0"/>
            </w:pPr>
            <w:r>
              <w:rPr/>
              <w:t xml:space="preserve">USD 1.319</w:t>
            </w:r>
          </w:p>
        </w:tc>
        <w:tc>
          <w:tcPr>
            <w:tcW w:w="7800" w:type="dxa"/>
            <w:noWrap/>
          </w:tcPr>
          <w:p>
            <w:pPr>
              <w:jc w:val="start"/>
              <w:spacing w:before="0" w:after="0"/>
            </w:pPr>
            <w:r>
              <w:rPr/>
              <w:t xml:space="preserve">USD 2.179</w:t>
            </w:r>
          </w:p>
        </w:tc>
      </w:tr>
      <w:tr>
        <w:trPr/>
        <w:tc>
          <w:tcPr>
            <w:tcW w:w="7800" w:type="dxa"/>
            <w:noWrap/>
          </w:tcPr>
          <w:p>
            <w:pPr>
              <w:jc w:val="start"/>
              <w:spacing w:before="0" w:after="0"/>
            </w:pPr>
            <w:r>
              <w:rPr/>
              <w:t xml:space="preserve">Julio – Agosto.</w:t>
            </w:r>
          </w:p>
        </w:tc>
        <w:tc>
          <w:tcPr>
            <w:tcW w:w="7800" w:type="dxa"/>
            <w:noWrap/>
          </w:tcPr>
          <w:p>
            <w:pPr>
              <w:jc w:val="start"/>
              <w:spacing w:before="0" w:after="0"/>
            </w:pPr>
            <w:r>
              <w:rPr/>
              <w:t xml:space="preserve">USD 1.359</w:t>
            </w:r>
          </w:p>
        </w:tc>
        <w:tc>
          <w:tcPr>
            <w:tcW w:w="7800" w:type="dxa"/>
            <w:noWrap/>
          </w:tcPr>
          <w:p>
            <w:pPr>
              <w:jc w:val="start"/>
              <w:spacing w:before="0" w:after="0"/>
            </w:pPr>
            <w:r>
              <w:rPr/>
              <w:t xml:space="preserve">USD 1.169</w:t>
            </w:r>
          </w:p>
        </w:tc>
        <w:tc>
          <w:tcPr>
            <w:tcW w:w="7800" w:type="dxa"/>
            <w:noWrap/>
          </w:tcPr>
          <w:p>
            <w:pPr>
              <w:jc w:val="start"/>
              <w:spacing w:before="0" w:after="0"/>
            </w:pPr>
            <w:r>
              <w:rPr/>
              <w:t xml:space="preserve">USD 1.879</w:t>
            </w:r>
          </w:p>
        </w:tc>
        <w:tc>
          <w:tcPr>
            <w:tcW w:w="7800" w:type="dxa"/>
            <w:noWrap/>
          </w:tcPr>
          <w:p>
            <w:pPr>
              <w:jc w:val="start"/>
              <w:spacing w:before="0" w:after="0"/>
            </w:pPr>
            <w:r>
              <w:rPr/>
              <w:t xml:space="preserve">USD 1.549</w:t>
            </w:r>
          </w:p>
        </w:tc>
        <w:tc>
          <w:tcPr>
            <w:tcW w:w="7800" w:type="dxa"/>
            <w:noWrap/>
          </w:tcPr>
          <w:p>
            <w:pPr>
              <w:jc w:val="start"/>
              <w:spacing w:before="0" w:after="0"/>
            </w:pPr>
            <w:r>
              <w:rPr/>
              <w:t xml:space="preserve">USD 1.339</w:t>
            </w:r>
          </w:p>
        </w:tc>
        <w:tc>
          <w:tcPr>
            <w:tcW w:w="7800" w:type="dxa"/>
            <w:noWrap/>
          </w:tcPr>
          <w:p>
            <w:pPr>
              <w:jc w:val="start"/>
              <w:spacing w:before="0" w:after="0"/>
            </w:pPr>
            <w:r>
              <w:rPr/>
              <w:t xml:space="preserve">USD 2.229</w:t>
            </w:r>
          </w:p>
        </w:tc>
      </w:tr>
      <w:tr>
        <w:trPr/>
        <w:tc>
          <w:tcPr>
            <w:tcW w:w="7800" w:type="dxa"/>
            <w:noWrap/>
          </w:tcPr>
          <w:p>
            <w:pPr>
              <w:jc w:val="start"/>
              <w:spacing w:before="0" w:after="0"/>
            </w:pPr>
            <w:r>
              <w:rPr/>
              <w:t xml:space="preserve">Junio – Septiembre.</w:t>
            </w:r>
          </w:p>
        </w:tc>
        <w:tc>
          <w:tcPr>
            <w:tcW w:w="7800" w:type="dxa"/>
            <w:noWrap/>
          </w:tcPr>
          <w:p>
            <w:pPr>
              <w:jc w:val="start"/>
              <w:spacing w:before="0" w:after="0"/>
            </w:pPr>
            <w:r>
              <w:rPr/>
              <w:t xml:space="preserve">USD 1.389</w:t>
            </w:r>
          </w:p>
        </w:tc>
        <w:tc>
          <w:tcPr>
            <w:tcW w:w="7800" w:type="dxa"/>
            <w:noWrap/>
          </w:tcPr>
          <w:p>
            <w:pPr>
              <w:jc w:val="start"/>
              <w:spacing w:before="0" w:after="0"/>
            </w:pPr>
            <w:r>
              <w:rPr/>
              <w:t xml:space="preserve">USD 1.189</w:t>
            </w:r>
          </w:p>
        </w:tc>
        <w:tc>
          <w:tcPr>
            <w:tcW w:w="7800" w:type="dxa"/>
            <w:noWrap/>
          </w:tcPr>
          <w:p>
            <w:pPr>
              <w:jc w:val="start"/>
              <w:spacing w:before="0" w:after="0"/>
            </w:pPr>
            <w:r>
              <w:rPr/>
              <w:t xml:space="preserve">USD 1.939</w:t>
            </w:r>
          </w:p>
        </w:tc>
        <w:tc>
          <w:tcPr>
            <w:tcW w:w="7800" w:type="dxa"/>
            <w:noWrap/>
          </w:tcPr>
          <w:p>
            <w:pPr>
              <w:jc w:val="start"/>
              <w:spacing w:before="0" w:after="0"/>
            </w:pPr>
            <w:r>
              <w:rPr/>
              <w:t xml:space="preserve">USD 1.569</w:t>
            </w:r>
          </w:p>
        </w:tc>
        <w:tc>
          <w:tcPr>
            <w:tcW w:w="7800" w:type="dxa"/>
            <w:noWrap/>
          </w:tcPr>
          <w:p>
            <w:pPr>
              <w:jc w:val="start"/>
              <w:spacing w:before="0" w:after="0"/>
            </w:pPr>
            <w:r>
              <w:rPr/>
              <w:t xml:space="preserve">USD 1.359</w:t>
            </w:r>
          </w:p>
        </w:tc>
        <w:tc>
          <w:tcPr>
            <w:tcW w:w="7800" w:type="dxa"/>
            <w:noWrap/>
          </w:tcPr>
          <w:p>
            <w:pPr>
              <w:jc w:val="start"/>
              <w:spacing w:before="0" w:after="0"/>
            </w:pPr>
            <w:r>
              <w:rPr/>
              <w:t xml:space="preserve">USD 2.249</w:t>
            </w:r>
          </w:p>
        </w:tc>
      </w:tr>
      <w:tr>
        <w:trPr/>
        <w:tc>
          <w:tcPr>
            <w:tcW w:w="7800" w:type="dxa"/>
            <w:gridSpan w:val="7"/>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7"/>
            <w:noWrap/>
          </w:tcPr>
          <w:p>
            <w:pPr>
              <w:jc w:val="start"/>
              <w:spacing w:before="0" w:after="0"/>
            </w:pPr>
            <w:r>
              <w:rPr/>
              <w:t xml:space="preserve">*La acomodación en triple será c/ la adición de una cama extra portable una vez que los hoteles no suelen tener habitaciones con 3 camas en Turquía. </w:t>
            </w:r>
            <w:r>
              <w:rPr>
                <w:b w:val="1"/>
                <w:bCs w:val="1"/>
              </w:rPr>
              <w:t xml:space="preserve">*</w:t>
            </w:r>
            <w:r>
              <w:rPr/>
              <w:t xml:space="preserve">En caso de no recibir los datos de vuelo de llegada o salida hasta 07 días antes del tour no se podrá garantizar el servicio de traslados.</w:t>
            </w:r>
          </w:p>
        </w:tc>
      </w:tr>
      <w:tr>
        <w:trPr/>
        <w:tc>
          <w:tcPr>
            <w:tcW w:w="7800" w:type="dxa"/>
            <w:gridSpan w:val="7"/>
            <w:noWrap/>
          </w:tcPr>
          <w:p>
            <w:pPr>
              <w:jc w:val="start"/>
              <w:spacing w:before="0" w:after="0"/>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7"/>
            <w:noWrap/>
          </w:tcPr>
          <w:p>
            <w:pPr>
              <w:jc w:val="start"/>
              <w:spacing w:before="0" w:after="0"/>
            </w:pPr>
            <w:r>
              <w:rPr>
                <w:b w:val="1"/>
                <w:bCs w:val="1"/>
              </w:rPr>
              <w:t xml:space="preserve">TARIFA DE NIÑOS:</w:t>
            </w:r>
            <w:r>
              <w:rPr/>
              <w:t xml:space="preserve"> Niños compartiendo en la misma habitación con sus padres sin cama adicional (máximo dos adultos + un niño)</w:t>
            </w:r>
          </w:p>
          <w:p>
            <w:pPr>
              <w:numPr>
                <w:ilvl w:val="0"/>
                <w:numId w:val="1"/>
              </w:numPr>
            </w:pPr>
            <w:r>
              <w:rPr/>
              <w:t xml:space="preserve">0 – 1,99 años, gratis.</w:t>
            </w:r>
          </w:p>
          <w:p>
            <w:pPr>
              <w:numPr>
                <w:ilvl w:val="0"/>
                <w:numId w:val="1"/>
              </w:numPr>
            </w:pPr>
            <w:r>
              <w:rPr/>
              <w:t xml:space="preserve">2 – 5,99 años, descuento 50% con cama extra, según disponibilidad del hotel.</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Gonen Hotel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Dedeman Istanbul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Capadocia</w:t>
            </w:r>
          </w:p>
        </w:tc>
        <w:tc>
          <w:tcPr>
            <w:tcW w:w="7800" w:type="dxa"/>
            <w:noWrap/>
          </w:tcPr>
          <w:p>
            <w:pPr>
              <w:jc w:val="start"/>
              <w:spacing w:before="0" w:after="0"/>
            </w:pPr>
            <w:r>
              <w:rPr/>
              <w:t xml:space="preserve">Signature Spa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Pamukkale</w:t>
            </w:r>
          </w:p>
        </w:tc>
        <w:tc>
          <w:tcPr>
            <w:tcW w:w="7800" w:type="dxa"/>
            <w:noWrap/>
          </w:tcPr>
          <w:p>
            <w:pPr>
              <w:jc w:val="start"/>
              <w:spacing w:before="0" w:after="0"/>
            </w:pPr>
            <w:r>
              <w:rPr/>
              <w:t xml:space="preserve">Adempira Termal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Kusadasi (Nov - May)</w:t>
            </w:r>
          </w:p>
        </w:tc>
        <w:tc>
          <w:tcPr>
            <w:tcW w:w="7800" w:type="dxa"/>
            <w:noWrap/>
          </w:tcPr>
          <w:p>
            <w:pPr>
              <w:jc w:val="start"/>
              <w:spacing w:before="0" w:after="0"/>
            </w:pPr>
            <w:r>
              <w:rPr/>
              <w:t xml:space="preserve">Signature Blue Resort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Izmir (Jun – Oct)</w:t>
            </w:r>
          </w:p>
        </w:tc>
        <w:tc>
          <w:tcPr>
            <w:tcW w:w="7800" w:type="dxa"/>
            <w:noWrap/>
          </w:tcPr>
          <w:p>
            <w:pPr>
              <w:jc w:val="start"/>
              <w:spacing w:before="0" w:after="0"/>
            </w:pPr>
            <w:r>
              <w:rPr/>
              <w:t xml:space="preserve">Mitte Port Hotel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MS. Gemini (crucero)</w:t>
            </w:r>
          </w:p>
        </w:tc>
        <w:tc>
          <w:tcPr>
            <w:tcW w:w="7800" w:type="dxa"/>
            <w:noWrap/>
          </w:tcPr>
          <w:p>
            <w:pPr>
              <w:jc w:val="start"/>
              <w:spacing w:before="0" w:after="0"/>
            </w:pPr>
            <w:r>
              <w:rPr/>
              <w:t xml:space="preserve">Standard Inside Cabin</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MS. Gemini (crucero)</w:t>
            </w:r>
          </w:p>
        </w:tc>
        <w:tc>
          <w:tcPr>
            <w:tcW w:w="7800" w:type="dxa"/>
            <w:noWrap/>
          </w:tcPr>
          <w:p>
            <w:pPr>
              <w:jc w:val="start"/>
              <w:spacing w:before="0" w:after="0"/>
            </w:pPr>
            <w:r>
              <w:rPr/>
              <w:t xml:space="preserve">Premium Inside Cabin</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MS. Gemini (crucero)</w:t>
            </w:r>
          </w:p>
        </w:tc>
        <w:tc>
          <w:tcPr>
            <w:tcW w:w="7800" w:type="dxa"/>
            <w:noWrap/>
          </w:tcPr>
          <w:p>
            <w:pPr>
              <w:jc w:val="start"/>
              <w:spacing w:before="0" w:after="0"/>
            </w:pPr>
            <w:r>
              <w:rPr/>
              <w:t xml:space="preserve">Standard Outside Cabin.</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MS. Gemini (crucero)</w:t>
            </w:r>
          </w:p>
        </w:tc>
        <w:tc>
          <w:tcPr>
            <w:tcW w:w="7800" w:type="dxa"/>
            <w:noWrap/>
          </w:tcPr>
          <w:p>
            <w:pPr>
              <w:jc w:val="start"/>
              <w:spacing w:before="0" w:after="0"/>
            </w:pPr>
            <w:r>
              <w:rPr/>
              <w:t xml:space="preserve">Superior Outside Cabin (Vista Obstruida)</w:t>
            </w:r>
          </w:p>
        </w:tc>
        <w:tc>
          <w:tcPr>
            <w:tcW w:w="7800" w:type="dxa"/>
            <w:noWrap/>
          </w:tcPr>
          <w:p>
            <w:pPr>
              <w:jc w:val="start"/>
              <w:spacing w:before="0" w:after="0"/>
            </w:pPr>
            <w:r>
              <w:rPr/>
              <w:t xml:space="preserve">Oro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03 noches de Alojamiento en Estambul en categoría seleccionada.</w:t>
      </w:r>
    </w:p>
    <w:p>
      <w:pPr>
        <w:numPr>
          <w:ilvl w:val="1"/>
          <w:numId w:val="3"/>
        </w:numPr>
      </w:pPr>
      <w:r>
        <w:rPr/>
        <w:t xml:space="preserve">02 noches de Alojamiento en Capadocia.</w:t>
      </w:r>
    </w:p>
    <w:p>
      <w:pPr>
        <w:numPr>
          <w:ilvl w:val="1"/>
          <w:numId w:val="3"/>
        </w:numPr>
      </w:pPr>
      <w:r>
        <w:rPr/>
        <w:t xml:space="preserve">01 noche de Alojamiento en Pamukkale.</w:t>
      </w:r>
    </w:p>
    <w:p>
      <w:pPr>
        <w:numPr>
          <w:ilvl w:val="1"/>
          <w:numId w:val="3"/>
        </w:numPr>
      </w:pPr>
      <w:r>
        <w:rPr/>
        <w:t xml:space="preserve">01 noches de Alojamiento en Kusadasi o Izmir de acuerdo con la temporada.</w:t>
      </w:r>
    </w:p>
    <w:p>
      <w:pPr>
        <w:numPr>
          <w:ilvl w:val="1"/>
          <w:numId w:val="3"/>
        </w:numPr>
      </w:pPr>
      <w:r>
        <w:rPr/>
        <w:t xml:space="preserve">Desayunos diarios, 04 cenas.</w:t>
      </w:r>
    </w:p>
    <w:p>
      <w:pPr>
        <w:numPr>
          <w:ilvl w:val="1"/>
          <w:numId w:val="3"/>
        </w:numPr>
      </w:pPr>
      <w:r>
        <w:rPr/>
        <w:t xml:space="preserve">Entradas y visitas de acuerdo con el mencionado en el programa.</w:t>
      </w:r>
    </w:p>
    <w:p>
      <w:pPr>
        <w:numPr>
          <w:ilvl w:val="1"/>
          <w:numId w:val="3"/>
        </w:numPr>
      </w:pPr>
      <w:r>
        <w:rPr/>
        <w:t xml:space="preserve">Traslados in/out en auto con aire acondicionado en servicio regular.</w:t>
      </w:r>
    </w:p>
    <w:p>
      <w:pPr>
        <w:numPr>
          <w:ilvl w:val="1"/>
          <w:numId w:val="3"/>
        </w:numPr>
      </w:pPr>
      <w:r>
        <w:rPr/>
        <w:t xml:space="preserve">Traslados de Izmir/Kusadasi al puerto para embarque.</w:t>
      </w:r>
    </w:p>
    <w:p>
      <w:pPr>
        <w:numPr>
          <w:ilvl w:val="1"/>
          <w:numId w:val="3"/>
        </w:numPr>
      </w:pPr>
      <w:r>
        <w:rPr/>
        <w:t xml:space="preserve">Alojamiento 3 noches en Cabina Interior (Cat. 2 y 3).</w:t>
      </w:r>
    </w:p>
    <w:p>
      <w:pPr>
        <w:numPr>
          <w:ilvl w:val="1"/>
          <w:numId w:val="3"/>
        </w:numPr>
      </w:pPr>
      <w:r>
        <w:rPr/>
        <w:t xml:space="preserve">Pensión completa durante el crucero (desayuno, almuerzo y cena).</w:t>
      </w:r>
    </w:p>
    <w:p>
      <w:pPr>
        <w:numPr>
          <w:ilvl w:val="1"/>
          <w:numId w:val="3"/>
        </w:numPr>
      </w:pPr>
      <w:r>
        <w:rPr/>
        <w:t xml:space="preserve">Tasas portuarias 125 € (4 días).</w:t>
      </w:r>
    </w:p>
    <w:p>
      <w:pPr>
        <w:numPr>
          <w:ilvl w:val="1"/>
          <w:numId w:val="3"/>
        </w:numPr>
      </w:pPr>
      <w:r>
        <w:rPr/>
        <w:t xml:space="preserve">Propinas.</w:t>
      </w:r>
    </w:p>
    <w:p>
      <w:pPr>
        <w:numPr>
          <w:ilvl w:val="1"/>
          <w:numId w:val="3"/>
        </w:numPr>
      </w:pPr>
      <w:r>
        <w:rPr/>
        <w:t xml:space="preserve">Una copa de refresco vino o cerveza durante las comidas, almuerzos y cenas.</w:t>
      </w:r>
    </w:p>
    <w:p>
      <w:pPr>
        <w:numPr>
          <w:ilvl w:val="1"/>
          <w:numId w:val="3"/>
        </w:numPr>
      </w:pPr>
      <w:r>
        <w:rPr/>
        <w:t xml:space="preserve">Hora del té, merienda de medianoche.</w:t>
      </w:r>
    </w:p>
    <w:p>
      <w:pPr>
        <w:numPr>
          <w:ilvl w:val="1"/>
          <w:numId w:val="3"/>
        </w:numPr>
      </w:pPr>
      <w:r>
        <w:rPr/>
        <w:t xml:space="preserve">Entretenimiento y actividades a bordo.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Propinas para el guía, chófer, etc. - se sugiere 5 USD por pax por día.</w:t>
      </w:r>
    </w:p>
    <w:p>
      <w:pPr>
        <w:numPr>
          <w:ilvl w:val="1"/>
          <w:numId w:val="3"/>
        </w:numPr>
      </w:pPr>
      <w:r>
        <w:rPr/>
        <w:t xml:space="preserve">Tarjeta de asistencia médica.</w:t>
      </w:r>
    </w:p>
    <w:p>
      <w:pPr>
        <w:numPr>
          <w:ilvl w:val="1"/>
          <w:numId w:val="3"/>
        </w:numPr>
      </w:pPr>
      <w:r>
        <w:rPr/>
        <w:t xml:space="preserve">2% Fee bancario.</w:t>
      </w:r>
    </w:p>
    <w:p>
      <w:pPr>
        <w:numPr>
          <w:ilvl w:val="1"/>
          <w:numId w:val="3"/>
        </w:numPr>
      </w:pPr>
      <w:r>
        <w:rPr/>
        <w:t xml:space="preserve">Vuelos internacionales y/o domésticos.</w:t>
      </w:r>
    </w:p>
    <w:p>
      <w:pPr>
        <w:numPr>
          <w:ilvl w:val="1"/>
          <w:numId w:val="3"/>
        </w:numPr>
      </w:pPr>
      <w:r>
        <w:rPr/>
        <w:t xml:space="preserve">Gastos personales. </w:t>
      </w:r>
    </w:p>
    <w:p>
      <w:pPr>
        <w:numPr>
          <w:ilvl w:val="1"/>
          <w:numId w:val="3"/>
        </w:numPr>
      </w:pPr>
      <w:r>
        <w:rPr/>
        <w:t xml:space="preserve">Servicios no especificados en el “precio incluye”.</w:t>
      </w:r>
    </w:p>
    <w:p>
      <w:pPr>
        <w:numPr>
          <w:ilvl w:val="1"/>
          <w:numId w:val="3"/>
        </w:numPr>
      </w:pPr>
      <w:r>
        <w:rPr/>
        <w:t xml:space="preserve">Excursiones opcionales.</w:t>
      </w:r>
    </w:p>
    <w:p>
      <w:pPr>
        <w:numPr>
          <w:ilvl w:val="1"/>
          <w:numId w:val="3"/>
        </w:numPr>
      </w:pPr>
      <w:r>
        <w:rPr/>
        <w:t xml:space="preserve">Recargos en los hoteles por Early Check in O Late Check out.             </w:t>
      </w:r>
    </w:p>
    <w:p>
      <w:pPr>
        <w:numPr>
          <w:ilvl w:val="1"/>
          <w:numId w:val="3"/>
        </w:numPr>
      </w:pPr>
      <w:r>
        <w:rPr/>
        <w:t xml:space="preserve">Bebidas en las comidas incluidas. </w:t>
      </w:r>
    </w:p>
    <w:p>
      <w:pPr>
        <w:numPr>
          <w:ilvl w:val="1"/>
          <w:numId w:val="3"/>
        </w:numPr>
      </w:pPr>
      <w:r>
        <w:rPr/>
        <w:t xml:space="preserve">Bebidas alcohólicas.</w:t>
      </w:r>
    </w:p>
    <w:p>
      <w:pPr>
        <w:numPr>
          <w:ilvl w:val="1"/>
          <w:numId w:val="3"/>
        </w:numPr>
      </w:pPr>
      <w:r>
        <w:rPr/>
        <w:t xml:space="preserve">Excursiones opcionales en tierra.</w:t>
      </w:r>
    </w:p>
    <w:p>
      <w:pPr>
        <w:numPr>
          <w:ilvl w:val="1"/>
          <w:numId w:val="3"/>
        </w:numPr>
      </w:pPr>
      <w:r>
        <w:rPr/>
        <w:t xml:space="preserve">Servicio de autobús lanzadas en Mykonos (10 €, ida y vuelta).</w:t>
      </w:r>
    </w:p>
    <w:p>
      <w:pPr>
        <w:numPr>
          <w:ilvl w:val="1"/>
          <w:numId w:val="3"/>
        </w:numPr>
      </w:pPr>
      <w:r>
        <w:rPr/>
        <w:t xml:space="preserve">Tarifa de servicios (5 € por día para adultos, 3 € por día para niños de 0 a 16 años). (Pago a bordo).</w:t>
      </w:r>
    </w:p>
    <w:p>
      <w:pPr>
        <w:numPr>
          <w:ilvl w:val="1"/>
          <w:numId w:val="3"/>
        </w:numPr>
      </w:pPr>
      <w:r>
        <w:rPr/>
        <w:t xml:space="preserve">Impuesto de Alojamiento por persona de acuerdo con la categoría, se paga directamente en destino.</w:t>
      </w:r>
    </w:p>
    <w:p>
      <w:pPr>
        <w:numPr>
          <w:ilvl w:val="1"/>
          <w:numId w:val="3"/>
        </w:numPr>
      </w:pPr>
      <w:r>
        <w:rPr/>
        <w:t xml:space="preserve">Categoría. Platino - 15 USD</w:t>
      </w:r>
    </w:p>
    <w:p>
      <w:pPr>
        <w:numPr>
          <w:ilvl w:val="1"/>
          <w:numId w:val="3"/>
        </w:numPr>
      </w:pPr>
      <w:r>
        <w:rPr/>
        <w:t xml:space="preserve">Categoría. Oro - 25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509D3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566A0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2A1B3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2025-05-01T04:14:55+00:00</dcterms:created>
  <dcterms:modified xsi:type="dcterms:W3CDTF">2025-05-01T04:14:55+00:00</dcterms:modified>
</cp:coreProperties>
</file>

<file path=docProps/custom.xml><?xml version="1.0" encoding="utf-8"?>
<Properties xmlns="http://schemas.openxmlformats.org/officeDocument/2006/custom-properties" xmlns:vt="http://schemas.openxmlformats.org/officeDocument/2006/docPropsVTypes"/>
</file>