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Y GRECIA SAPHIRE                    </w:t>
      </w:r>
    </w:p>
    <w:p>
      <w:pPr/>
      <w:r>
        <w:rPr>
          <w:rFonts w:ascii="Arial" w:hAnsi="Arial" w:eastAsia="Arial" w:cs="Arial"/>
          <w:color w:val="light"/>
          <w:sz w:val="22"/>
          <w:szCs w:val="22"/>
          <w:b w:val="0"/>
          <w:bCs w:val="0"/>
        </w:rPr>
        <w:t xml:space="preserve">MTC - 28580</w:t>
      </w:r>
    </w:p>
    <w:p>
      <w:pPr/>
      <w:r>
        <w:rPr>
          <w:rFonts w:ascii="Arial" w:hAnsi="Arial" w:eastAsia="Arial" w:cs="Arial"/>
          <w:color w:val="light"/>
          <w:sz w:val="22"/>
          <w:szCs w:val="22"/>
          <w:b w:val="0"/>
          <w:bCs w:val="0"/>
        </w:rPr>
        <w:t xml:space="preserve">16 Días y 15 Noches</w:t>
      </w:r>
    </w:p>
    <w:p/>
    <w:p/>
    <w:p>
      <w:pPr>
        <w:jc w:val="center"/>
        <w:spacing w:before="450"/>
      </w:pPr>
      <w:r>
        <w:rPr>
          <w:sz w:val="40.5"/>
          <w:szCs w:val="40.5"/>
        </w:rPr>
        <w:t xml:space="preserve">Desde $2304</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Atenas, </w:t>
      </w:r>
      <w:r>
        <w:rPr/>
        <w:t xml:space="preserve">Mykonos, </w:t>
      </w:r>
      <w:r>
        <w:rPr/>
        <w:t xml:space="preserve">Santorini, </w:t>
      </w:r>
      <w:r>
        <w:rPr/>
        <w:t xml:space="preserve">Capadocia, </w:t>
      </w:r>
      <w:r>
        <w:rPr/>
        <w:t xml:space="preserve">Estambul, </w:t>
      </w:r>
      <w:r>
        <w:rPr/>
        <w:t xml:space="preserve">Kusadasi, </w:t>
      </w:r>
      <w:r>
        <w:rPr/>
        <w:t xml:space="preserve">Pamukkale, </w:t>
      </w:r>
      <w:r>
        <w:rPr/>
        <w:t xml:space="preserve">Samos,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A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w:t>
      </w:r>
    </w:p>
    <w:p>
      <w:pPr/>
      <w:r>
        <w:rPr/>
        <w:t xml:space="preserve">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ESTAMBUL.</w:t>
      </w:r>
      <w:br/>
      <w:r>
        <w:rPr/>
        <w:t xml:space="preserve">Desayuno. Salida para tomar la excursión incluida “PERLAS DEL CUERNO DE ORO Y BÓSFORO” 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t xml:space="preserve">Nota: 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ESTAMBUL</w:t>
      </w:r>
      <w:br/>
      <w:r>
        <w:rPr/>
        <w:t xml:space="preserve">Desayuno. Día libre. Posibilidad de tomar la excursión opcional. Alojamiento.</w:t>
      </w:r>
    </w:p>
    <w:p>
      <w:pPr/>
      <w:r>
        <w:rPr>
          <w:b w:val="1"/>
          <w:bCs w:val="1"/>
        </w:rPr>
        <w:t xml:space="preserve">“JOYAS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t xml:space="preserve">Nota: Para el ingreso a la Mezquita de Santa Sofía (consultar suplemento).</w:t>
      </w:r>
    </w:p>
    <w:p>
      <w:pPr/>
      <w:r>
        <w:rPr>
          <w:b w:val="1"/>
          <w:bCs w:val="1"/>
        </w:rPr>
        <w:t xml:space="preserve">DÍA 04 ESTAMBUL – VUELO – CAPADOCIA.</w:t>
      </w:r>
      <w:br/>
      <w:r>
        <w:rPr/>
        <w:t xml:space="preserve">Desayuno. Partida al aeropuerto para tomar vuelo con destino a Capadocia (Vuelo NO incluido - consultar suplementos obligatorios; los traslados están incluidos para realizar una sola operación con el grupo). Llegada y traslado al hotel. Alojamiento.</w:t>
      </w:r>
    </w:p>
    <w:p>
      <w:pPr/>
      <w:r>
        <w:rPr>
          <w:b w:val="1"/>
          <w:bCs w:val="1"/>
        </w:rPr>
        <w:t xml:space="preserve">DÍA 05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 “NOCHE TURCA” Presentación de bailes folclóricos en una cueva típica con bebidas locales; “JEEP SAFARI” aventura por los valles místicos de la región con paradas para tomar las mejores fotos; “PASEO EN GLOBO” temprano por la mañana para admirar uno de los más bellos paisajes de la tierra.</w:t>
      </w:r>
    </w:p>
    <w:p>
      <w:pPr/>
      <w:r>
        <w:rPr>
          <w:b w:val="1"/>
          <w:bCs w:val="1"/>
        </w:rPr>
        <w:t xml:space="preserve">DÍA 06 CAPADOCIA – PAMUKKALE.</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PAMUKKALE – SELCUK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t xml:space="preserve">Nota: El hospedaje podrá ser en Izmir o Kuşadasi dependiendo de la temporada.</w:t>
      </w:r>
    </w:p>
    <w:p>
      <w:pPr/>
      <w:r>
        <w:rPr>
          <w:b w:val="1"/>
          <w:bCs w:val="1"/>
        </w:rPr>
        <w:t xml:space="preserve">DÍA 08 IZMIR/KUSADASI.</w:t>
      </w:r>
      <w:br/>
      <w:r>
        <w:rPr/>
        <w:t xml:space="preserve">Desayuno. Día libre. Posibilidad de realizar la excursión opcional “CHÍOS – UN PARAÍSO GRIEGO”: 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Cena en el hotel. Alojamiento.</w:t>
      </w:r>
    </w:p>
    <w:p>
      <w:pPr/>
      <w:r>
        <w:rPr>
          <w:b w:val="1"/>
          <w:bCs w:val="1"/>
        </w:rPr>
        <w:t xml:space="preserve">DÍA 09 IZMIR/KUSADASI – SAMOS.</w:t>
      </w:r>
      <w:br/>
      <w:r>
        <w:rPr/>
        <w:t xml:space="preserve">Desayuno. Traslado al puerto. Llegada al puerto de Samos. Traslado al hotel. Tarde libre. Alojamiento.</w:t>
      </w:r>
    </w:p>
    <w:p>
      <w:pPr/>
      <w:r>
        <w:rPr>
          <w:b w:val="1"/>
          <w:bCs w:val="1"/>
        </w:rPr>
        <w:t xml:space="preserve">DÍA 10 SAMOS - MYKONOS.</w:t>
      </w:r>
      <w:br/>
      <w:r>
        <w:rPr/>
        <w:t xml:space="preserve">Desayuno. A la hora acordada, traslado al puerto correspondiente para embarcar y salir con destino Mykonos. Llegada al puerto de Mykonos y traslado al hotel. Tarde libre. Alojamiento.</w:t>
      </w:r>
    </w:p>
    <w:p>
      <w:pPr/>
      <w:r>
        <w:rPr>
          <w:b w:val="1"/>
          <w:bCs w:val="1"/>
        </w:rPr>
        <w:t xml:space="preserve">DÍA 11 MYKONOS</w:t>
      </w:r>
      <w:br/>
      <w:r>
        <w:rPr/>
        <w:t xml:space="preserve">Desayuno. Día libre para disfrutar de la isla. Alojamiento.</w:t>
      </w:r>
    </w:p>
    <w:p>
      <w:pPr/>
      <w:r>
        <w:rPr>
          <w:b w:val="1"/>
          <w:bCs w:val="1"/>
        </w:rPr>
        <w:t xml:space="preserve">DIA 12 MYKONOS - SANTORINI</w:t>
      </w:r>
      <w:br/>
      <w:r>
        <w:rPr/>
        <w:t xml:space="preserve">Desayuno. Tiempo libre hasta la hora del traslado al puerto para embarcar y salir hacia Santorini. Llegada a Santorini, traslado al hotel. Alojamiento.</w:t>
      </w:r>
    </w:p>
    <w:p>
      <w:pPr/>
      <w:r>
        <w:rPr>
          <w:b w:val="1"/>
          <w:bCs w:val="1"/>
        </w:rPr>
        <w:t xml:space="preserve">DIA 13 SANTORINI</w:t>
      </w:r>
      <w:br/>
      <w:r>
        <w:rPr/>
        <w:t xml:space="preserve">Desayuno. Día libre para disfrutar de la isla. Alojamiento.</w:t>
      </w:r>
    </w:p>
    <w:p>
      <w:pPr/>
      <w:r>
        <w:rPr>
          <w:b w:val="1"/>
          <w:bCs w:val="1"/>
        </w:rPr>
        <w:t xml:space="preserve">DIA 14 SANTORINI - ATENAS</w:t>
      </w:r>
      <w:br/>
      <w:r>
        <w:rPr/>
        <w:t xml:space="preserve">Desayuno. Tiempo libre hasta realizar el traslado al puerto de Santorini para embarcar y salir hacia Pireo. Llegada al puerto de Pireo, traslado al Hotel de Atenas y alojamiento.</w:t>
      </w:r>
    </w:p>
    <w:p>
      <w:pPr/>
      <w:r>
        <w:rPr>
          <w:b w:val="1"/>
          <w:bCs w:val="1"/>
        </w:rPr>
        <w:t xml:space="preserve">DIA 15 ATENAS - VISITA DE ½ DIA ATENAS</w:t>
      </w:r>
      <w:br/>
      <w:r>
        <w:rPr/>
        <w:t xml:space="preserve">Desayuno. Salida para realizar la Visita de Ciudad ½ Día: Acrópolis y Panorámica de Atenas. El Partenón, símbolo clásico de la arquitectura, construido totalmente en mármol blanco. El Partenón es el mayor Templo erigido en honor a la diosa Atenea. El tour panorámico nos lleva por las partes más importantes de la ciudad como la Tumba del soldado desconocido, el Parlamento y el Estadio Panathinaikon, donde se celebraron los primeros Juegos Olímpicos de la era moderna. Tarde libre. Alojamiento.</w:t>
      </w:r>
    </w:p>
    <w:p>
      <w:pPr/>
      <w:r>
        <w:rPr>
          <w:b w:val="1"/>
          <w:bCs w:val="1"/>
        </w:rPr>
        <w:t xml:space="preserve">DIA 16 ATENAS</w:t>
      </w:r>
      <w:br/>
      <w:r>
        <w:rPr/>
        <w:t xml:space="preserve">Desayuno. A la hora acordada, traslado al aeropuerto de Atenas. Fin de su estancia en Grecia.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Temporada A:</w:t>
            </w:r>
          </w:p>
        </w:tc>
        <w:tc>
          <w:tcPr>
            <w:tcW w:w="7800" w:type="dxa"/>
            <w:noWrap/>
          </w:tcPr>
          <w:p>
            <w:pPr>
              <w:jc w:val="start"/>
              <w:spacing w:before="0" w:after="0"/>
            </w:pPr>
            <w:r>
              <w:rPr/>
              <w:t xml:space="preserve">USD 2.524</w:t>
            </w:r>
          </w:p>
        </w:tc>
        <w:tc>
          <w:tcPr>
            <w:tcW w:w="7800" w:type="dxa"/>
            <w:noWrap/>
          </w:tcPr>
          <w:p>
            <w:pPr>
              <w:jc w:val="start"/>
              <w:spacing w:before="0" w:after="0"/>
            </w:pPr>
            <w:r>
              <w:rPr/>
              <w:t xml:space="preserve">USD 2.304</w:t>
            </w:r>
          </w:p>
        </w:tc>
        <w:tc>
          <w:tcPr>
            <w:tcW w:w="7800" w:type="dxa"/>
            <w:noWrap/>
          </w:tcPr>
          <w:p>
            <w:pPr>
              <w:jc w:val="start"/>
              <w:spacing w:before="0" w:after="0"/>
            </w:pPr>
            <w:r>
              <w:rPr/>
              <w:t xml:space="preserve">USD 3.896</w:t>
            </w:r>
          </w:p>
        </w:tc>
      </w:tr>
      <w:tr>
        <w:trPr/>
        <w:tc>
          <w:tcPr>
            <w:tcW w:w="7800" w:type="dxa"/>
            <w:noWrap/>
          </w:tcPr>
          <w:p>
            <w:pPr>
              <w:jc w:val="start"/>
              <w:spacing w:before="0" w:after="0"/>
            </w:pPr>
            <w:r>
              <w:rPr/>
              <w:t xml:space="preserve">Temporada B:</w:t>
            </w:r>
          </w:p>
        </w:tc>
        <w:tc>
          <w:tcPr>
            <w:tcW w:w="7800" w:type="dxa"/>
            <w:noWrap/>
          </w:tcPr>
          <w:p>
            <w:pPr>
              <w:jc w:val="start"/>
              <w:spacing w:before="0" w:after="0"/>
            </w:pPr>
            <w:r>
              <w:rPr/>
              <w:t xml:space="preserve">USD 2.582</w:t>
            </w:r>
          </w:p>
        </w:tc>
        <w:tc>
          <w:tcPr>
            <w:tcW w:w="7800" w:type="dxa"/>
            <w:noWrap/>
          </w:tcPr>
          <w:p>
            <w:pPr>
              <w:jc w:val="start"/>
              <w:spacing w:before="0" w:after="0"/>
            </w:pPr>
            <w:r>
              <w:rPr/>
              <w:t xml:space="preserve">USD 2.362</w:t>
            </w:r>
          </w:p>
        </w:tc>
        <w:tc>
          <w:tcPr>
            <w:tcW w:w="7800" w:type="dxa"/>
            <w:noWrap/>
          </w:tcPr>
          <w:p>
            <w:pPr>
              <w:jc w:val="start"/>
              <w:spacing w:before="0" w:after="0"/>
            </w:pPr>
            <w:r>
              <w:rPr/>
              <w:t xml:space="preserve">USD 4.042</w:t>
            </w:r>
          </w:p>
        </w:tc>
      </w:tr>
      <w:tr>
        <w:trPr/>
        <w:tc>
          <w:tcPr>
            <w:tcW w:w="7800" w:type="dxa"/>
            <w:noWrap/>
          </w:tcPr>
          <w:p>
            <w:pPr>
              <w:jc w:val="start"/>
              <w:spacing w:before="0" w:after="0"/>
            </w:pPr>
            <w:r>
              <w:rPr/>
              <w:t xml:space="preserve">Temporada C:</w:t>
            </w:r>
          </w:p>
        </w:tc>
        <w:tc>
          <w:tcPr>
            <w:tcW w:w="7800" w:type="dxa"/>
            <w:noWrap/>
          </w:tcPr>
          <w:p>
            <w:pPr>
              <w:jc w:val="start"/>
              <w:spacing w:before="0" w:after="0"/>
            </w:pPr>
            <w:r>
              <w:rPr/>
              <w:t xml:space="preserve">USD 2.861</w:t>
            </w:r>
          </w:p>
        </w:tc>
        <w:tc>
          <w:tcPr>
            <w:tcW w:w="7800" w:type="dxa"/>
            <w:noWrap/>
          </w:tcPr>
          <w:p>
            <w:pPr>
              <w:jc w:val="start"/>
              <w:spacing w:before="0" w:after="0"/>
            </w:pPr>
            <w:r>
              <w:rPr/>
              <w:t xml:space="preserve">USD 2.656</w:t>
            </w:r>
          </w:p>
        </w:tc>
        <w:tc>
          <w:tcPr>
            <w:tcW w:w="7800" w:type="dxa"/>
            <w:noWrap/>
          </w:tcPr>
          <w:p>
            <w:pPr>
              <w:jc w:val="start"/>
              <w:spacing w:before="0" w:after="0"/>
            </w:pPr>
            <w:r>
              <w:rPr/>
              <w:t xml:space="preserve">USD 4.629</w:t>
            </w:r>
          </w:p>
        </w:tc>
      </w:tr>
      <w:tr>
        <w:trPr/>
        <w:tc>
          <w:tcPr>
            <w:tcW w:w="7800" w:type="dxa"/>
            <w:noWrap/>
          </w:tcPr>
          <w:p>
            <w:pPr>
              <w:jc w:val="start"/>
              <w:spacing w:before="0" w:after="0"/>
            </w:pPr>
            <w:r>
              <w:rPr/>
              <w:t xml:space="preserve">Temporada D:</w:t>
            </w:r>
          </w:p>
        </w:tc>
        <w:tc>
          <w:tcPr>
            <w:tcW w:w="7800" w:type="dxa"/>
            <w:noWrap/>
          </w:tcPr>
          <w:p>
            <w:pPr>
              <w:jc w:val="start"/>
              <w:spacing w:before="0" w:after="0"/>
            </w:pPr>
            <w:r>
              <w:rPr/>
              <w:t xml:space="preserve">USD 3.022</w:t>
            </w:r>
          </w:p>
        </w:tc>
        <w:tc>
          <w:tcPr>
            <w:tcW w:w="7800" w:type="dxa"/>
            <w:noWrap/>
          </w:tcPr>
          <w:p>
            <w:pPr>
              <w:jc w:val="start"/>
              <w:spacing w:before="0" w:after="0"/>
            </w:pPr>
            <w:r>
              <w:rPr/>
              <w:t xml:space="preserve">USD 2.802</w:t>
            </w:r>
          </w:p>
        </w:tc>
        <w:tc>
          <w:tcPr>
            <w:tcW w:w="7800" w:type="dxa"/>
            <w:noWrap/>
          </w:tcPr>
          <w:p>
            <w:pPr>
              <w:jc w:val="start"/>
              <w:spacing w:before="0" w:after="0"/>
            </w:pPr>
            <w:r>
              <w:rPr/>
              <w:t xml:space="preserve">USD 4.981</w:t>
            </w:r>
          </w:p>
        </w:tc>
      </w:tr>
      <w:tr>
        <w:trPr/>
        <w:tc>
          <w:tcPr>
            <w:tcW w:w="7800" w:type="dxa"/>
            <w:gridSpan w:val="4"/>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spacing w:before="0" w:after="0"/>
            </w:pPr>
            <w:r>
              <w:rPr/>
              <w:t xml:space="preserve">*La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4"/>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numPr>
                <w:ilvl w:val="0"/>
                <w:numId w:val="1"/>
              </w:numPr>
            </w:pPr>
            <w:r>
              <w:rPr/>
              <w:t xml:space="preserve">0 – 1,99 años, gratis.</w:t>
            </w:r>
          </w:p>
          <w:p>
            <w:pPr>
              <w:numPr>
                <w:ilvl w:val="0"/>
                <w:numId w:val="1"/>
              </w:numPr>
            </w:pPr>
            <w:r>
              <w:rPr/>
              <w:t xml:space="preserve">2 – 5,99 años, descuento 50% con cama extra, según disponibilidad del hotel.</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CVK Park Bosphorus o Similar</w:t>
            </w:r>
          </w:p>
        </w:tc>
        <w:tc>
          <w:tcPr>
            <w:tcW w:w="7800" w:type="dxa"/>
            <w:noWrap/>
          </w:tcPr>
          <w:p>
            <w:pPr>
              <w:jc w:val="start"/>
              <w:spacing w:before="0" w:after="0"/>
            </w:pPr>
            <w:r>
              <w:rPr/>
              <w:t xml:space="preserve">Turquesa.</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Splendid Cave o Similar</w:t>
            </w:r>
          </w:p>
        </w:tc>
        <w:tc>
          <w:tcPr>
            <w:tcW w:w="7800" w:type="dxa"/>
            <w:noWrap/>
          </w:tcPr>
          <w:p>
            <w:pPr>
              <w:jc w:val="start"/>
              <w:spacing w:before="0" w:after="0"/>
            </w:pPr>
            <w:r>
              <w:rPr/>
              <w:t xml:space="preserve">Cueva Sapphire.</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Kusadasi (Nov - May)</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Izmir (Jun – Oct)</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Todas las categorías</w:t>
            </w:r>
          </w:p>
        </w:tc>
      </w:tr>
      <w:tr>
        <w:trPr/>
        <w:tc>
          <w:tcPr>
            <w:tcW w:w="7800" w:type="dxa"/>
            <w:noWrap/>
          </w:tcPr>
          <w:p>
            <w:pPr>
              <w:jc w:val="start"/>
              <w:spacing w:before="0" w:after="0"/>
            </w:pPr>
            <w:r>
              <w:rPr/>
              <w:t xml:space="preserve">Atenas</w:t>
            </w:r>
          </w:p>
        </w:tc>
        <w:tc>
          <w:tcPr>
            <w:tcW w:w="7800" w:type="dxa"/>
            <w:noWrap/>
          </w:tcPr>
          <w:p>
            <w:pPr>
              <w:jc w:val="start"/>
              <w:spacing w:before="0" w:after="0"/>
            </w:pPr>
            <w:r>
              <w:rPr/>
              <w:t xml:space="preserve">Hotel Wyndham o Similar.</w:t>
            </w:r>
          </w:p>
        </w:tc>
        <w:tc>
          <w:tcPr>
            <w:tcW w:w="7800" w:type="dxa"/>
            <w:noWrap/>
          </w:tcPr>
          <w:p>
            <w:pPr>
              <w:jc w:val="start"/>
              <w:spacing w:before="0" w:after="0"/>
            </w:pPr>
            <w:r>
              <w:rPr/>
              <w:t xml:space="preserve">Superior</w:t>
            </w:r>
          </w:p>
        </w:tc>
      </w:tr>
      <w:tr>
        <w:trPr/>
        <w:tc>
          <w:tcPr>
            <w:tcW w:w="7800" w:type="dxa"/>
            <w:noWrap/>
          </w:tcPr>
          <w:p>
            <w:pPr>
              <w:jc w:val="start"/>
              <w:spacing w:before="0" w:after="0"/>
            </w:pPr>
            <w:r>
              <w:rPr/>
              <w:t xml:space="preserve">Mykonos</w:t>
            </w:r>
          </w:p>
        </w:tc>
        <w:tc>
          <w:tcPr>
            <w:tcW w:w="7800" w:type="dxa"/>
            <w:noWrap/>
          </w:tcPr>
          <w:p>
            <w:pPr>
              <w:jc w:val="start"/>
              <w:spacing w:before="0" w:after="0"/>
            </w:pPr>
            <w:r>
              <w:rPr/>
              <w:t xml:space="preserve">Hotel El Greco o Similar.</w:t>
            </w:r>
          </w:p>
        </w:tc>
        <w:tc>
          <w:tcPr>
            <w:tcW w:w="7800" w:type="dxa"/>
            <w:noWrap/>
          </w:tcPr>
          <w:p>
            <w:pPr>
              <w:jc w:val="start"/>
              <w:spacing w:before="0" w:after="0"/>
            </w:pPr>
            <w:r>
              <w:rPr/>
              <w:t xml:space="preserve">Superior</w:t>
            </w:r>
          </w:p>
        </w:tc>
      </w:tr>
      <w:tr>
        <w:trPr/>
        <w:tc>
          <w:tcPr>
            <w:tcW w:w="7800" w:type="dxa"/>
            <w:noWrap/>
          </w:tcPr>
          <w:p>
            <w:pPr>
              <w:jc w:val="start"/>
              <w:spacing w:before="0" w:after="0"/>
            </w:pPr>
            <w:r>
              <w:rPr/>
              <w:t xml:space="preserve">Santorini</w:t>
            </w:r>
          </w:p>
        </w:tc>
        <w:tc>
          <w:tcPr>
            <w:tcW w:w="7800" w:type="dxa"/>
            <w:noWrap/>
          </w:tcPr>
          <w:p>
            <w:pPr>
              <w:jc w:val="start"/>
              <w:spacing w:before="0" w:after="0"/>
            </w:pPr>
            <w:r>
              <w:rPr/>
              <w:t xml:space="preserve">Hotel Manoulas Beach o Similar.</w:t>
            </w:r>
          </w:p>
        </w:tc>
        <w:tc>
          <w:tcPr>
            <w:tcW w:w="7800" w:type="dxa"/>
            <w:noWrap/>
          </w:tcPr>
          <w:p>
            <w:pPr>
              <w:jc w:val="start"/>
              <w:spacing w:before="0" w:after="0"/>
            </w:pPr>
            <w:r>
              <w:rPr/>
              <w:t xml:space="preserve">Superior</w:t>
            </w:r>
          </w:p>
        </w:tc>
      </w:tr>
      <w:tr>
        <w:trPr/>
        <w:tc>
          <w:tcPr>
            <w:tcW w:w="7800" w:type="dxa"/>
            <w:noWrap/>
          </w:tcPr>
          <w:p>
            <w:pPr>
              <w:jc w:val="start"/>
              <w:spacing w:before="0" w:after="0"/>
            </w:pPr>
            <w:r>
              <w:rPr/>
              <w:t xml:space="preserve">Samos</w:t>
            </w:r>
          </w:p>
        </w:tc>
        <w:tc>
          <w:tcPr>
            <w:tcW w:w="7800" w:type="dxa"/>
            <w:noWrap/>
          </w:tcPr>
          <w:p>
            <w:pPr>
              <w:jc w:val="start"/>
              <w:spacing w:before="0" w:after="0"/>
            </w:pPr>
            <w:r>
              <w:rPr/>
              <w:t xml:space="preserve">Hotel Samos.</w:t>
            </w:r>
          </w:p>
        </w:tc>
        <w:tc>
          <w:tcPr>
            <w:tcW w:w="7800" w:type="dxa"/>
            <w:noWrap/>
          </w:tcPr>
          <w:p>
            <w:pPr>
              <w:jc w:val="start"/>
              <w:spacing w:before="0" w:after="0"/>
            </w:pPr>
            <w:r>
              <w:rPr/>
              <w:t xml:space="preserve">Superior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03 noches de Alojamiento en Estambul en categoría Turquesa.</w:t>
      </w:r>
    </w:p>
    <w:p>
      <w:pPr>
        <w:numPr>
          <w:ilvl w:val="1"/>
          <w:numId w:val="3"/>
        </w:numPr>
      </w:pPr>
      <w:r>
        <w:rPr/>
        <w:t xml:space="preserve">02 noches de Alojamiento en Capadocia hotel tipo Cueva.</w:t>
      </w:r>
    </w:p>
    <w:p>
      <w:pPr>
        <w:numPr>
          <w:ilvl w:val="1"/>
          <w:numId w:val="3"/>
        </w:numPr>
      </w:pPr>
      <w:r>
        <w:rPr/>
        <w:t xml:space="preserve">01 noche de Alojamiento en Pamukkale.</w:t>
      </w:r>
    </w:p>
    <w:p>
      <w:pPr>
        <w:numPr>
          <w:ilvl w:val="1"/>
          <w:numId w:val="3"/>
        </w:numPr>
      </w:pPr>
      <w:r>
        <w:rPr/>
        <w:t xml:space="preserve">02 noches de Alojamiento en Kusadasi o Izmir de acuerdo con la temporada.</w:t>
      </w:r>
    </w:p>
    <w:p>
      <w:pPr>
        <w:numPr>
          <w:ilvl w:val="1"/>
          <w:numId w:val="3"/>
        </w:numPr>
      </w:pPr>
      <w:r>
        <w:rPr/>
        <w:t xml:space="preserve">Desayunos diarios, 04 cenas en el circuito terrestre de Turquía.</w:t>
      </w:r>
    </w:p>
    <w:p>
      <w:pPr>
        <w:numPr>
          <w:ilvl w:val="1"/>
          <w:numId w:val="3"/>
        </w:numPr>
      </w:pPr>
      <w:r>
        <w:rPr/>
        <w:t xml:space="preserve">Excursión PERLAS DEL CUERNO DE ORO Y BÓSFORO.</w:t>
      </w:r>
    </w:p>
    <w:p>
      <w:pPr>
        <w:numPr>
          <w:ilvl w:val="1"/>
          <w:numId w:val="3"/>
        </w:numPr>
      </w:pPr>
      <w:r>
        <w:rPr/>
        <w:t xml:space="preserve">Entradas y visitas de acuerdo con el mencionado en el programa.</w:t>
      </w:r>
    </w:p>
    <w:p>
      <w:pPr>
        <w:numPr>
          <w:ilvl w:val="1"/>
          <w:numId w:val="3"/>
        </w:numPr>
      </w:pPr>
      <w:r>
        <w:rPr/>
        <w:t xml:space="preserve">Traslados in/out en auto con aire acondicionado en servicio regular.</w:t>
      </w:r>
    </w:p>
    <w:p>
      <w:pPr>
        <w:numPr>
          <w:ilvl w:val="1"/>
          <w:numId w:val="3"/>
        </w:numPr>
      </w:pPr>
      <w:r>
        <w:rPr/>
        <w:t xml:space="preserve">Todos los servicios en plan Regular.</w:t>
      </w:r>
    </w:p>
    <w:p>
      <w:pPr>
        <w:numPr>
          <w:ilvl w:val="1"/>
          <w:numId w:val="3"/>
        </w:numPr>
      </w:pPr>
      <w:r>
        <w:rPr/>
        <w:t xml:space="preserve">Todos los traslados del Itinerario.</w:t>
      </w:r>
    </w:p>
    <w:p>
      <w:pPr>
        <w:numPr>
          <w:ilvl w:val="1"/>
          <w:numId w:val="3"/>
        </w:numPr>
      </w:pPr>
      <w:r>
        <w:rPr/>
        <w:t xml:space="preserve">1 noche en Samos, en régimen de alojamiento y desayuno</w:t>
      </w:r>
    </w:p>
    <w:p>
      <w:pPr>
        <w:numPr>
          <w:ilvl w:val="1"/>
          <w:numId w:val="3"/>
        </w:numPr>
      </w:pPr>
      <w:r>
        <w:rPr/>
        <w:t xml:space="preserve">2 noches en Mykonos, en régimen de alojamiento y desayuno.</w:t>
      </w:r>
    </w:p>
    <w:p>
      <w:pPr>
        <w:numPr>
          <w:ilvl w:val="1"/>
          <w:numId w:val="3"/>
        </w:numPr>
      </w:pPr>
      <w:r>
        <w:rPr/>
        <w:t xml:space="preserve">2 noches en Santorini, en régimen de alojamiento y desayuno.</w:t>
      </w:r>
    </w:p>
    <w:p>
      <w:pPr>
        <w:numPr>
          <w:ilvl w:val="1"/>
          <w:numId w:val="3"/>
        </w:numPr>
      </w:pPr>
      <w:r>
        <w:rPr/>
        <w:t xml:space="preserve">2 noches en Atenas en régimen de alojamiento y desayuno.</w:t>
      </w:r>
    </w:p>
    <w:p>
      <w:pPr>
        <w:numPr>
          <w:ilvl w:val="1"/>
          <w:numId w:val="3"/>
        </w:numPr>
      </w:pPr>
      <w:r>
        <w:rPr/>
        <w:t xml:space="preserve">Visita 1/2 Día: panorámica de Atenas y visita al recinto de Acrópolis, con guía oficial en español y entradas.</w:t>
      </w:r>
    </w:p>
    <w:p>
      <w:pPr>
        <w:numPr>
          <w:ilvl w:val="1"/>
          <w:numId w:val="3"/>
        </w:numPr>
      </w:pPr>
      <w:r>
        <w:rPr/>
        <w:t xml:space="preserve">Ferry KUSADASI/SAMOS en clase económica</w:t>
      </w:r>
    </w:p>
    <w:p>
      <w:pPr>
        <w:numPr>
          <w:ilvl w:val="1"/>
          <w:numId w:val="3"/>
        </w:numPr>
      </w:pPr>
      <w:r>
        <w:rPr/>
        <w:t xml:space="preserve">Ferry SAMOS/MYKONOS en clase económica numerada.</w:t>
      </w:r>
    </w:p>
    <w:p>
      <w:pPr>
        <w:numPr>
          <w:ilvl w:val="1"/>
          <w:numId w:val="3"/>
        </w:numPr>
      </w:pPr>
      <w:r>
        <w:rPr/>
        <w:t xml:space="preserve">Barco rápido MYKONOS/SANTORINI en clase económica numerada.</w:t>
      </w:r>
    </w:p>
    <w:p>
      <w:pPr>
        <w:numPr>
          <w:ilvl w:val="1"/>
          <w:numId w:val="3"/>
        </w:numPr>
      </w:pPr>
      <w:r>
        <w:rPr/>
        <w:t xml:space="preserve">Ferry SANTORINI/PIREO en clase económica numerada.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Propinas para el guía, chófer, etc - se sugiere 5 USD por pax por día.</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Vuelos internacionales y/o domésticos.</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Ningún servicio no especificado.</w:t>
      </w:r>
    </w:p>
    <w:p>
      <w:pPr>
        <w:numPr>
          <w:ilvl w:val="1"/>
          <w:numId w:val="3"/>
        </w:numPr>
      </w:pPr>
      <w:r>
        <w:rPr/>
        <w:t xml:space="preserve">Excursiones opcionales.</w:t>
      </w:r>
    </w:p>
    <w:p>
      <w:pPr>
        <w:numPr>
          <w:ilvl w:val="1"/>
          <w:numId w:val="3"/>
        </w:numPr>
      </w:pPr>
      <w:r>
        <w:rPr/>
        <w:t xml:space="preserve">Bebidas en las comidas incluidas.</w:t>
      </w:r>
    </w:p>
    <w:p>
      <w:pPr>
        <w:numPr>
          <w:ilvl w:val="1"/>
          <w:numId w:val="3"/>
        </w:numPr>
      </w:pPr>
      <w:r>
        <w:rPr/>
        <w:t xml:space="preserve">Recargos en los hoteles por Early Check in O Late Check out.</w:t>
      </w:r>
    </w:p>
    <w:p>
      <w:pPr>
        <w:numPr>
          <w:ilvl w:val="1"/>
          <w:numId w:val="3"/>
        </w:numPr>
      </w:pPr>
      <w:r>
        <w:rPr/>
        <w:t xml:space="preserve">Propinas para guías, maleteros u otro servicio no mencionado específicamente en el incluye.</w:t>
      </w:r>
    </w:p>
    <w:p>
      <w:pPr>
        <w:numPr>
          <w:ilvl w:val="1"/>
          <w:numId w:val="3"/>
        </w:numPr>
      </w:pPr>
      <w:r>
        <w:rPr/>
        <w:t xml:space="preserve">Extras personales ni cualquier otro servicio no mencionado.</w:t>
      </w:r>
    </w:p>
    <w:p>
      <w:pPr>
        <w:numPr>
          <w:ilvl w:val="1"/>
          <w:numId w:val="3"/>
        </w:numPr>
      </w:pPr>
      <w:r>
        <w:rPr/>
        <w:t xml:space="preserve">Tasa de Puerto en Kusadasi (En base de 2024: 22,00 euros p/p)</w:t>
      </w:r>
    </w:p>
    <w:p>
      <w:pPr>
        <w:numPr>
          <w:ilvl w:val="1"/>
          <w:numId w:val="3"/>
        </w:numPr>
      </w:pPr>
      <w:r>
        <w:rPr/>
        <w:t xml:space="preserve">Estambul – Capadocia (Tarifa NETA aproximada por persona sujeto a cambios USD 175 // Política de equipaje 15 Kg en bodega + Equipaje de mano por pasajero).</w:t>
      </w:r>
    </w:p>
    <w:p>
      <w:pPr>
        <w:numPr>
          <w:ilvl w:val="1"/>
          <w:numId w:val="3"/>
        </w:numPr>
      </w:pPr>
      <w:r>
        <w:rPr/>
        <w:t xml:space="preserve">Impuestos de resiliencia a la crisis climática según tipo de Alojamiento (Se pagan directamente en el hotel)</w:t>
      </w:r>
    </w:p>
    <w:p>
      <w:pPr>
        <w:numPr>
          <w:ilvl w:val="1"/>
          <w:numId w:val="3"/>
        </w:numPr>
      </w:pPr>
      <w:r>
        <w:rPr/>
        <w:t xml:space="preserve"/>
      </w:r>
    </w:p>
    <w:p>
      <w:pPr>
        <w:numPr>
          <w:ilvl w:val="1"/>
          <w:numId w:val="3"/>
        </w:numPr>
      </w:pPr>
      <w:r>
        <w:rPr/>
        <w:t xml:space="preserve">Hoteles 5*: 10 EUR P/habitación, por noche.</w:t>
      </w:r>
    </w:p>
    <w:p>
      <w:pPr>
        <w:numPr>
          <w:ilvl w:val="1"/>
          <w:numId w:val="3"/>
        </w:numPr>
      </w:pPr>
      <w:r>
        <w:rPr/>
        <w:t xml:space="preserve">Hoteles 4*: 7 EUR P/habitación, por noche.</w:t>
      </w:r>
    </w:p>
    <w:p>
      <w:pPr>
        <w:numPr>
          <w:ilvl w:val="1"/>
          <w:numId w:val="3"/>
        </w:numPr>
      </w:pPr>
      <w:r>
        <w:rPr/>
        <w:t xml:space="preserve">Impuesto de Alojamiento por persona de acuerdo con la categoría, se paga directamente en destino.</w:t>
      </w:r>
    </w:p>
    <w:p>
      <w:pPr>
        <w:numPr>
          <w:ilvl w:val="1"/>
          <w:numId w:val="3"/>
        </w:numPr>
      </w:pPr>
      <w:r>
        <w:rPr/>
        <w:t xml:space="preserve">Categoría. Turquesa – 45 USD (Nov - Abril)</w:t>
      </w:r>
    </w:p>
    <w:p>
      <w:pPr>
        <w:numPr>
          <w:ilvl w:val="1"/>
          <w:numId w:val="3"/>
        </w:numPr>
      </w:pPr>
      <w:r>
        <w:rPr/>
        <w:t xml:space="preserve">Categoría. Turquesa – 65 USD (May - Oct)</w:t>
      </w:r>
    </w:p>
    <w:p>
      <w:pPr>
        <w:numPr>
          <w:ilvl w:val="1"/>
          <w:numId w:val="3"/>
        </w:numPr>
      </w:pPr>
      <w:r>
        <w:rPr/>
        <w:t xml:space="preserve">Categoría. Cueva – 11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6A8C7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EB49B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07AF6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2025-05-01T03:44:58+00:00</dcterms:created>
  <dcterms:modified xsi:type="dcterms:W3CDTF">2025-05-01T03:44:58+00:00</dcterms:modified>
</cp:coreProperties>
</file>

<file path=docProps/custom.xml><?xml version="1.0" encoding="utf-8"?>
<Properties xmlns="http://schemas.openxmlformats.org/officeDocument/2006/custom-properties" xmlns:vt="http://schemas.openxmlformats.org/officeDocument/2006/docPropsVTypes"/>
</file>