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AVENTURA EN DUBÁI                    </w:t>
      </w:r>
    </w:p>
    <w:p>
      <w:pPr/>
      <w:r>
        <w:rPr>
          <w:rFonts w:ascii="Arial" w:hAnsi="Arial" w:eastAsia="Arial" w:cs="Arial"/>
          <w:color w:val="light"/>
          <w:sz w:val="22"/>
          <w:szCs w:val="22"/>
          <w:b w:val="0"/>
          <w:bCs w:val="0"/>
        </w:rPr>
        <w:t xml:space="preserve">MTC - 28563</w:t>
      </w:r>
    </w:p>
    <w:p>
      <w:pPr/>
      <w:r>
        <w:rPr>
          <w:rFonts w:ascii="Arial" w:hAnsi="Arial" w:eastAsia="Arial" w:cs="Arial"/>
          <w:color w:val="light"/>
          <w:sz w:val="22"/>
          <w:szCs w:val="22"/>
          <w:b w:val="0"/>
          <w:bCs w:val="0"/>
        </w:rPr>
        <w:t xml:space="preserve">9 Días y 8 Noches</w:t>
      </w:r>
    </w:p>
    <w:p/>
    <w:p/>
    <w:p>
      <w:pPr>
        <w:jc w:val="center"/>
        <w:spacing w:before="450"/>
      </w:pPr>
      <w:r>
        <w:rPr>
          <w:sz w:val="40.5"/>
          <w:szCs w:val="40.5"/>
        </w:rPr>
        <w:t xml:space="preserve">Desde $1227</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Emiratos Árabes Unidos,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Dubái,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 </w:t>
      </w:r>
      <w:br/>
      <w:r>
        <w:rPr>
          <w:b w:val="1"/>
          <w:bCs w:val="1"/>
        </w:rPr>
        <w:t xml:space="preserve">DUBÁI</w:t>
      </w:r>
      <w:br/>
      <w:r>
        <w:rPr/>
        <w:t xml:space="preserve">Llegada en vuelo internacional al aeropuerto de </w:t>
      </w:r>
      <w:r>
        <w:rPr>
          <w:b w:val="1"/>
          <w:bCs w:val="1"/>
        </w:rPr>
        <w:t xml:space="preserve">Dubái (DXB)</w:t>
      </w:r>
      <w:r>
        <w:rPr/>
        <w:t xml:space="preserve">. Asistencia por parte de nuestro personal y traslado al hotel. </w:t>
      </w:r>
      <w:r>
        <w:rPr>
          <w:b w:val="1"/>
          <w:bCs w:val="1"/>
        </w:rPr>
        <w:t xml:space="preserve">Alojamiento.</w:t>
      </w:r>
    </w:p>
    <w:p>
      <w:pPr/>
      <w:br/>
      <w:r>
        <w:rPr>
          <w:b w:val="1"/>
          <w:bCs w:val="1"/>
        </w:rPr>
        <w:t xml:space="preserve">DÍA 02 </w:t>
      </w:r>
      <w:br/>
      <w:r>
        <w:rPr>
          <w:b w:val="1"/>
          <w:bCs w:val="1"/>
        </w:rPr>
        <w:t xml:space="preserve">DUBÁI</w:t>
      </w:r>
      <w:br/>
      <w:r>
        <w:rPr>
          <w:b w:val="1"/>
          <w:bCs w:val="1"/>
        </w:rPr>
        <w:t xml:space="preserve">DESAYUNO.</w:t>
      </w:r>
      <w:r>
        <w:rPr/>
        <w:t xml:space="preserve"> City tour de medio día por la ciudad con guía en español. Salida desde el hotel hacia la zona de Deira, donde se visitará el Museo de Dubai. Luego se pasará por el mercado de las especies y el mercado del oro, atravesando el canal con las famosas “Abras”, las barcas típicas de los primeros pescadores de los Traslado a </w:t>
      </w:r>
      <w:r>
        <w:rPr>
          <w:b w:val="1"/>
          <w:bCs w:val="1"/>
        </w:rPr>
        <w:t xml:space="preserve">Burj Khalifa</w:t>
      </w:r>
      <w:r>
        <w:rPr/>
        <w:t xml:space="preserve">, el edificio más alto del mundo</w:t>
      </w:r>
      <w:r>
        <w:rPr>
          <w:b w:val="1"/>
          <w:bCs w:val="1"/>
        </w:rPr>
        <w:t xml:space="preserve"> (Entrada incluida</w:t>
      </w:r>
      <w:r>
        <w:rPr/>
        <w:t xml:space="preserve"> al piso 124/5 horario NO Premium), además visitaremos el Acuario Indoor más grande del mundo dentro del </w:t>
      </w:r>
      <w:r>
        <w:rPr>
          <w:b w:val="1"/>
          <w:bCs w:val="1"/>
        </w:rPr>
        <w:t xml:space="preserve">Dubai Mall (Entrada General Incluida)</w:t>
      </w:r>
      <w:r>
        <w:rPr/>
        <w:t xml:space="preserve">. Posibilidad de quedarse en el centro comercial para disfrutar del show de las aguas danzantes, hacer compras y demás. Vuelta al hotel por su cuenta. </w:t>
      </w:r>
      <w:r>
        <w:rPr>
          <w:b w:val="1"/>
          <w:bCs w:val="1"/>
        </w:rPr>
        <w:t xml:space="preserve">Alojamiento.</w:t>
      </w:r>
    </w:p>
    <w:p>
      <w:pPr/>
      <w:br/>
      <w:r>
        <w:rPr>
          <w:b w:val="1"/>
          <w:bCs w:val="1"/>
        </w:rPr>
        <w:t xml:space="preserve">DÍA 03 </w:t>
      </w:r>
      <w:br/>
      <w:r>
        <w:rPr>
          <w:b w:val="1"/>
          <w:bCs w:val="1"/>
        </w:rPr>
        <w:t xml:space="preserve">DUBÁI – AQUAVENTURE ATLANTIS PARK</w:t>
      </w:r>
      <w:br/>
      <w:r>
        <w:rPr>
          <w:b w:val="1"/>
          <w:bCs w:val="1"/>
        </w:rPr>
        <w:t xml:space="preserve">DESAYUNO. </w:t>
      </w:r>
      <w:r>
        <w:rPr/>
        <w:t xml:space="preserve">Por la mañana nos trasladaremos al espectacular Hotel Atlantis The Palm, situación en la isla artificial en forma de palmera, para disfrutar del majestuoso parque acuático “Aquaventure”, el imponente acuario “The lost chambers” y cientos de diversiones más. Además, el completo cuenta con playa y muchas áreas de descanso, donde sin dudas podrán relajarse a lo grande y disfrutar de un día en familia. Al finalizar vuelta al hotel. </w:t>
      </w:r>
      <w:r>
        <w:rPr>
          <w:b w:val="1"/>
          <w:bCs w:val="1"/>
        </w:rPr>
        <w:t xml:space="preserve">Alojamiento.</w:t>
      </w:r>
    </w:p>
    <w:p>
      <w:pPr/>
      <w:br/>
      <w:r>
        <w:rPr>
          <w:b w:val="1"/>
          <w:bCs w:val="1"/>
        </w:rPr>
        <w:t xml:space="preserve">DÍA 4 </w:t>
      </w:r>
      <w:br/>
      <w:r>
        <w:rPr>
          <w:b w:val="1"/>
          <w:bCs w:val="1"/>
        </w:rPr>
        <w:t xml:space="preserve">DUBÁI – ABU DHABI – DUBÁI</w:t>
      </w:r>
      <w:br/>
      <w:r>
        <w:rPr>
          <w:b w:val="1"/>
          <w:bCs w:val="1"/>
        </w:rPr>
        <w:t xml:space="preserve">DESAYUNO</w:t>
      </w:r>
      <w:r>
        <w:rPr/>
        <w:t xml:space="preserve">. Visita a Abu Dhabi con guía español. Recorrido de 2 horas desde Dubai, pasaremos por el puerto Jebel Ali el puerto más grande del mundo realizado por el hombre, hasta la capital de UAE. Admiraremos la Mezquita del Jeque Zayed, la tercera más grande del mundo, así como la tumba de este. Seguiremos hasta el puente de Al Maqta pasando por una de las áreas más ricas de Abu Dhabi, el área de los ministros. Llegada a la calle Corniche que es comparada con Manhattan por su Skyline. </w:t>
      </w:r>
      <w:r>
        <w:rPr>
          <w:b w:val="1"/>
          <w:bCs w:val="1"/>
        </w:rPr>
        <w:t xml:space="preserve">Almuerzo buffet</w:t>
      </w:r>
      <w:r>
        <w:rPr/>
        <w:t xml:space="preserve"> . Parada para fotos en el hotel Emirates Palace. Continuamos a Al Batee área, donde se encuentran los palacios de la familia Real. Luego haremos una parada en el Heritage Village, una reconstrucción de un pueblo de oasis tradicional que ofrece una visión interesante del pasado del emirato. Los aspectos tradicionales de la forma de vida del desierto, que incluyen una fogata con cafeteras, una tienda de campaña de pelo de cabra y un sistema de riego falaj, se exhiben atractivamente en el museo abierto. Por último, al regresar a Dubai pasamos por el parque de Ferrari </w:t>
      </w:r>
      <w:r>
        <w:rPr>
          <w:b w:val="1"/>
          <w:bCs w:val="1"/>
        </w:rPr>
        <w:t xml:space="preserve">(entrada no incluida)</w:t>
      </w:r>
      <w:r>
        <w:rPr/>
        <w:t xml:space="preserve"> para sacar fotos o hacer compras (20 minutos). </w:t>
      </w:r>
      <w:r>
        <w:rPr>
          <w:b w:val="1"/>
          <w:bCs w:val="1"/>
        </w:rPr>
        <w:t xml:space="preserve">Alojamiento.</w:t>
      </w:r>
    </w:p>
    <w:p>
      <w:pPr/>
      <w:br/>
      <w:r>
        <w:rPr>
          <w:b w:val="1"/>
          <w:bCs w:val="1"/>
        </w:rPr>
        <w:t xml:space="preserve">DÍA 05 </w:t>
      </w:r>
      <w:br/>
      <w:r>
        <w:rPr>
          <w:b w:val="1"/>
          <w:bCs w:val="1"/>
        </w:rPr>
        <w:t xml:space="preserve">DUBÁI – MOTIONGATE PARK</w:t>
      </w:r>
      <w:br/>
      <w:r>
        <w:rPr>
          <w:b w:val="1"/>
          <w:bCs w:val="1"/>
        </w:rPr>
        <w:t xml:space="preserve">DESAYUNO. </w:t>
      </w:r>
      <w:r>
        <w:rPr/>
        <w:t xml:space="preserve">Por la mañana nos trasladaremos al maravilloso Dubai Parks, el parque temático más grande de Medio Oriente, donde podrán disfrutar del parque temático “MotionGate” con una superficie de 18 hectáreas y 29 atracciones con 8 montañas rusas de primer nivel y adrenalina pura con el mejor entretenimiento de los estudios cinematográficos más grandes y exitosos de Hollywood: DreamWorks Animation, Columbia Pictures y Lionsgate. Al finalizar regreso al hotel.</w:t>
      </w:r>
      <w:r>
        <w:rPr>
          <w:b w:val="1"/>
          <w:bCs w:val="1"/>
        </w:rPr>
        <w:t xml:space="preserve"> Alojamiento.</w:t>
      </w:r>
    </w:p>
    <w:p>
      <w:pPr/>
      <w:br/>
      <w:r>
        <w:rPr>
          <w:b w:val="1"/>
          <w:bCs w:val="1"/>
        </w:rPr>
        <w:t xml:space="preserve">DÍA 06 </w:t>
      </w:r>
      <w:br/>
      <w:r>
        <w:rPr>
          <w:b w:val="1"/>
          <w:bCs w:val="1"/>
        </w:rPr>
        <w:t xml:space="preserve">SAFARI DUBÁI.</w:t>
      </w:r>
      <w:br/>
      <w:r>
        <w:rPr>
          <w:b w:val="1"/>
          <w:bCs w:val="1"/>
        </w:rPr>
        <w:t xml:space="preserve">DESAYUNO</w:t>
      </w:r>
      <w:r>
        <w:rPr/>
        <w:t xml:space="preserve">. Mañana libre. Por la tarde nuestra excursión más popular, los Land Cruisers los recogerán entre las 15.00 y las 15.30 horas aproximadamente, para un excitante trayecto por las fantásticas dunas del desierto Emiratí. Podrán hacer fotos únicas de la puesta del sol árabe y una vez que este desaparezca detrás de las doradas dunas, nos dirigiremos a nuestro campamento ubicado también en pleno desierto. El olor a la fresca Brocheta de cordero a la parrilla, las hogueras, el olor a las tradicionales pipas de agua y los relajantes sonidos de la música árabe, le harán disfrutar de una autentica e inolvidable noche beduina. Después de haber repuesto fuerzas tras la suntuosa cena, una bailarina, le mostrara el antiguo arte de la Danza del Vientre. También podrán hacer Sandboard, paseo en camello y tatuajes de Henna, todo se encuentran incluido junto con el agua, refrescos, te y café. Regreso al hotel sobre las 21:30. </w:t>
      </w:r>
      <w:r>
        <w:rPr>
          <w:b w:val="1"/>
          <w:bCs w:val="1"/>
        </w:rPr>
        <w:t xml:space="preserve">Alojamiento.</w:t>
      </w:r>
    </w:p>
    <w:p>
      <w:pPr/>
      <w:br/>
      <w:r>
        <w:rPr>
          <w:b w:val="1"/>
          <w:bCs w:val="1"/>
        </w:rPr>
        <w:t xml:space="preserve">DÍA 07 </w:t>
      </w:r>
      <w:br/>
      <w:r>
        <w:rPr>
          <w:b w:val="1"/>
          <w:bCs w:val="1"/>
        </w:rPr>
        <w:t xml:space="preserve">DUBÁI – SKI DUBÁI PARK.</w:t>
      </w:r>
      <w:br/>
      <w:r>
        <w:rPr>
          <w:b w:val="1"/>
          <w:bCs w:val="1"/>
        </w:rPr>
        <w:t xml:space="preserve">DESAYUNO. </w:t>
      </w:r>
      <w:r>
        <w:rPr/>
        <w:t xml:space="preserve">Salida para visitar al famoso e impresionante Ski Dubai park, que es una de las estaciones de esquí interiores más grandes del mundo, con 22.500 metros cuadrados de área esquiable. Forma parte del Mall of the Emirates, que es el segundo centro comercial más grande del Dubai. Con la entrada Snow Plus, tendrán acceso a todas las actividades que tiene el parque, también se le proveerá toda la ropa de nieve con guantes y lockers para guardar cosas personales. Al finalizar regreso al hotel. </w:t>
      </w:r>
      <w:r>
        <w:rPr>
          <w:b w:val="1"/>
          <w:bCs w:val="1"/>
        </w:rPr>
        <w:t xml:space="preserve">Alojamiento</w:t>
      </w:r>
      <w:r>
        <w:rPr/>
        <w:t xml:space="preserve">.</w:t>
      </w:r>
    </w:p>
    <w:p>
      <w:pPr/>
      <w:r>
        <w:rPr>
          <w:b w:val="1"/>
          <w:bCs w:val="1"/>
        </w:rPr>
        <w:t xml:space="preserve">DÍA 08 </w:t>
      </w:r>
      <w:br/>
      <w:r>
        <w:rPr>
          <w:b w:val="1"/>
          <w:bCs w:val="1"/>
        </w:rPr>
        <w:t xml:space="preserve">DUBÁI.</w:t>
      </w:r>
      <w:br/>
      <w:r>
        <w:rPr>
          <w:b w:val="1"/>
          <w:bCs w:val="1"/>
        </w:rPr>
        <w:t xml:space="preserve">DESAYUNO. </w:t>
      </w:r>
      <w:r>
        <w:rPr/>
        <w:t xml:space="preserve">Día libre para hacer actividades personales, compras, disfrutar la playa, etc. Habrá muchas sugerencias para aprovechar el día. </w:t>
      </w:r>
      <w:r>
        <w:rPr>
          <w:b w:val="1"/>
          <w:bCs w:val="1"/>
        </w:rPr>
        <w:t xml:space="preserve">Alojamiento.</w:t>
      </w:r>
    </w:p>
    <w:p>
      <w:pPr/>
      <w:br/>
      <w:r>
        <w:rPr>
          <w:b w:val="1"/>
          <w:bCs w:val="1"/>
        </w:rPr>
        <w:t xml:space="preserve">DÍA 09 </w:t>
      </w:r>
      <w:br/>
      <w:r>
        <w:rPr>
          <w:b w:val="1"/>
          <w:bCs w:val="1"/>
        </w:rPr>
        <w:t xml:space="preserve">DUBÁI.</w:t>
      </w:r>
      <w:br/>
      <w:r>
        <w:rPr>
          <w:b w:val="1"/>
          <w:bCs w:val="1"/>
        </w:rPr>
        <w:t xml:space="preserve">DESAYUNO.</w:t>
      </w:r>
      <w:r>
        <w:rPr/>
        <w:t xml:space="preserve"> A la hora acordada traslado al aeropuerto para tomar su vuelo de regreso. </w:t>
      </w:r>
      <w:r>
        <w:rPr>
          <w:b w:val="1"/>
          <w:bCs w:val="1"/>
        </w:rPr>
        <w:t xml:space="preserve">FIN DE LOS SERVICIOS.</w:t>
      </w:r>
    </w:p>
    <w:p>
      <w:pPr/>
      <w:br/>
      <w:r>
        <w:rPr>
          <w:b w:val="1"/>
          <w:bCs w:val="1"/>
        </w:rPr>
        <w:t xml:space="preserve">NOTAS IMPORTANTES:</w:t>
      </w:r>
    </w:p>
    <w:p>
      <w:pP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br/>
      <w:r>
        <w:rPr/>
        <w:t xml:space="preserve"> </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PRECIOS REFERENCIALES POR PERSONA EN DÓLARES AMERICANOS</w:t>
      </w:r>
      <w:br/>
      <w:r>
        <w:rPr>
          <w:b w:val="1"/>
          <w:bCs w:val="1"/>
        </w:rPr>
        <w:t xml:space="preserve">Sujetos a cambios sin previo aviso y disponibilidad al momento de la reserva</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gridSpan w:val="3"/>
            <w:noWrap/>
          </w:tcPr>
          <w:p>
            <w:pPr>
              <w:jc w:val="start"/>
              <w:spacing w:before="0" w:after="0"/>
            </w:pPr>
            <w:r>
              <w:rPr>
                <w:color w:val="ffffff"/>
                <w:sz w:val="21"/>
                <w:szCs w:val="21"/>
                <w:b w:val="0"/>
                <w:bCs w:val="0"/>
                <w:shd w:val="clear" w:fill="152441"/>
              </w:rPr>
              <w:t xml:space="preserve">VIGENCIA DEL 01 MAYO AL 20 SEPTIEMBRE 2025</w:t>
            </w:r>
            <w:br/>
            <w:r>
              <w:rPr>
                <w:color w:val="ffffff"/>
                <w:sz w:val="21"/>
                <w:szCs w:val="21"/>
                <w:b w:val="0"/>
                <w:bCs w:val="0"/>
                <w:shd w:val="clear" w:fill="152441"/>
              </w:rPr>
              <w:t xml:space="preserve">Excepto Temporada alta</w:t>
            </w:r>
          </w:p>
        </w:tc>
      </w:tr>
      <w:tr>
        <w:trPr/>
        <w:tc>
          <w:tcPr>
            <w:tcW w:w="7800" w:type="dxa"/>
            <w:noWrap/>
          </w:tcPr>
          <w:p>
            <w:pPr>
              <w:jc w:val="start"/>
              <w:spacing w:before="0" w:after="0"/>
            </w:pPr>
            <w:r>
              <w:rPr>
                <w:b w:val="1"/>
                <w:bCs w:val="1"/>
              </w:rPr>
              <w:t xml:space="preserve">CATEGORIA</w:t>
            </w:r>
          </w:p>
        </w:tc>
        <w:tc>
          <w:tcPr>
            <w:tcW w:w="7800" w:type="dxa"/>
            <w:noWrap/>
          </w:tcPr>
          <w:p>
            <w:pPr>
              <w:jc w:val="start"/>
              <w:spacing w:before="0" w:after="0"/>
            </w:pPr>
            <w:r>
              <w:rPr>
                <w:b w:val="1"/>
                <w:bCs w:val="1"/>
              </w:rPr>
              <w:t xml:space="preserve">SENCILLA</w:t>
            </w:r>
          </w:p>
        </w:tc>
        <w:tc>
          <w:tcPr>
            <w:tcW w:w="7800" w:type="dxa"/>
            <w:noWrap/>
          </w:tcPr>
          <w:p>
            <w:pPr>
              <w:jc w:val="start"/>
              <w:spacing w:before="0" w:after="0"/>
            </w:pPr>
            <w:r>
              <w:rPr>
                <w:b w:val="1"/>
                <w:bCs w:val="1"/>
              </w:rPr>
              <w:t xml:space="preserve">DOBLE</w:t>
            </w:r>
          </w:p>
        </w:tc>
      </w:tr>
      <w:tr>
        <w:trPr/>
        <w:tc>
          <w:tcPr>
            <w:tcW w:w="7800" w:type="dxa"/>
            <w:noWrap/>
          </w:tcPr>
          <w:p>
            <w:pPr>
              <w:jc w:val="start"/>
              <w:spacing w:before="0" w:after="0"/>
            </w:pPr>
            <w:r>
              <w:rPr/>
              <w:t xml:space="preserve">4* - ESTÁNDAR</w:t>
            </w:r>
          </w:p>
        </w:tc>
        <w:tc>
          <w:tcPr>
            <w:tcW w:w="7800" w:type="dxa"/>
            <w:noWrap/>
          </w:tcPr>
          <w:p>
            <w:pPr>
              <w:jc w:val="start"/>
              <w:spacing w:before="0" w:after="0"/>
            </w:pPr>
            <w:r>
              <w:rPr/>
              <w:t xml:space="preserve">1.593</w:t>
            </w:r>
          </w:p>
        </w:tc>
        <w:tc>
          <w:tcPr>
            <w:tcW w:w="7800" w:type="dxa"/>
            <w:noWrap/>
          </w:tcPr>
          <w:p>
            <w:pPr>
              <w:jc w:val="start"/>
              <w:spacing w:before="0" w:after="0"/>
            </w:pPr>
            <w:r>
              <w:rPr/>
              <w:t xml:space="preserve">1.227</w:t>
            </w:r>
          </w:p>
        </w:tc>
      </w:tr>
      <w:tr>
        <w:trPr/>
        <w:tc>
          <w:tcPr>
            <w:tcW w:w="7800" w:type="dxa"/>
            <w:noWrap/>
          </w:tcPr>
          <w:p>
            <w:pPr>
              <w:jc w:val="start"/>
              <w:spacing w:before="0" w:after="0"/>
            </w:pPr>
            <w:r>
              <w:rPr/>
              <w:t xml:space="preserve">4* - PLUS</w:t>
            </w:r>
          </w:p>
        </w:tc>
        <w:tc>
          <w:tcPr>
            <w:tcW w:w="7800" w:type="dxa"/>
            <w:noWrap/>
          </w:tcPr>
          <w:p>
            <w:pPr>
              <w:jc w:val="start"/>
              <w:spacing w:before="0" w:after="0"/>
            </w:pPr>
            <w:r>
              <w:rPr/>
              <w:t xml:space="preserve">1.633</w:t>
            </w:r>
          </w:p>
        </w:tc>
        <w:tc>
          <w:tcPr>
            <w:tcW w:w="7800" w:type="dxa"/>
            <w:noWrap/>
          </w:tcPr>
          <w:p>
            <w:pPr>
              <w:jc w:val="start"/>
              <w:spacing w:before="0" w:after="0"/>
            </w:pPr>
            <w:r>
              <w:rPr/>
              <w:t xml:space="preserve">1.253</w:t>
            </w:r>
          </w:p>
        </w:tc>
      </w:tr>
      <w:tr>
        <w:trPr/>
        <w:tc>
          <w:tcPr>
            <w:tcW w:w="7800" w:type="dxa"/>
            <w:noWrap/>
          </w:tcPr>
          <w:p>
            <w:pPr>
              <w:jc w:val="start"/>
              <w:spacing w:before="0" w:after="0"/>
            </w:pPr>
            <w:r>
              <w:rPr/>
              <w:t xml:space="preserve">5* - ESTÁNDAR</w:t>
            </w:r>
          </w:p>
        </w:tc>
        <w:tc>
          <w:tcPr>
            <w:tcW w:w="7800" w:type="dxa"/>
            <w:noWrap/>
          </w:tcPr>
          <w:p>
            <w:pPr>
              <w:jc w:val="start"/>
              <w:spacing w:before="0" w:after="0"/>
            </w:pPr>
            <w:r>
              <w:rPr/>
              <w:t xml:space="preserve">1.873</w:t>
            </w:r>
          </w:p>
        </w:tc>
        <w:tc>
          <w:tcPr>
            <w:tcW w:w="7800" w:type="dxa"/>
            <w:noWrap/>
          </w:tcPr>
          <w:p>
            <w:pPr>
              <w:jc w:val="start"/>
              <w:spacing w:before="0" w:after="0"/>
            </w:pPr>
            <w:r>
              <w:rPr/>
              <w:t xml:space="preserve">1.373</w:t>
            </w:r>
          </w:p>
        </w:tc>
      </w:tr>
      <w:tr>
        <w:trPr/>
        <w:tc>
          <w:tcPr>
            <w:tcW w:w="7800" w:type="dxa"/>
            <w:noWrap/>
          </w:tcPr>
          <w:p>
            <w:pPr>
              <w:jc w:val="start"/>
              <w:spacing w:before="0" w:after="0"/>
            </w:pPr>
            <w:r>
              <w:rPr/>
              <w:t xml:space="preserve">5* - PLUS</w:t>
            </w:r>
          </w:p>
        </w:tc>
        <w:tc>
          <w:tcPr>
            <w:tcW w:w="7800" w:type="dxa"/>
            <w:noWrap/>
          </w:tcPr>
          <w:p>
            <w:pPr>
              <w:jc w:val="start"/>
              <w:spacing w:before="0" w:after="0"/>
            </w:pPr>
            <w:r>
              <w:rPr/>
              <w:t xml:space="preserve">2.033</w:t>
            </w:r>
          </w:p>
        </w:tc>
        <w:tc>
          <w:tcPr>
            <w:tcW w:w="7800" w:type="dxa"/>
            <w:noWrap/>
          </w:tcPr>
          <w:p>
            <w:pPr>
              <w:jc w:val="start"/>
              <w:spacing w:before="0" w:after="0"/>
            </w:pPr>
            <w:r>
              <w:rPr/>
              <w:t xml:space="preserve">1.447</w:t>
            </w:r>
          </w:p>
        </w:tc>
      </w:tr>
    </w:tbl>
    <w:p>
      <w:pPr>
        <w:spacing w:before="0" w:after="0"/>
      </w:pPr>
      <w:r>
        <w:rPr>
          <w:b w:val="1"/>
          <w:bCs w:val="1"/>
        </w:rPr>
        <w:t xml:space="preserve">NO INCLUYE: 2% de fee bancario</w:t>
      </w:r>
      <w:br/>
      <w:br/>
      <w:r>
        <w:rPr>
          <w:b w:val="1"/>
          <w:bCs w:val="1"/>
        </w:rPr>
        <w:t xml:space="preserve">PRECIOS REFERENCIALES POR PERSONA EN DÓLARES AMERICANOS</w:t>
      </w:r>
      <w:br/>
      <w:r>
        <w:rPr>
          <w:b w:val="1"/>
          <w:bCs w:val="1"/>
        </w:rPr>
        <w:t xml:space="preserve">Sujetos a cambios sin previo aviso y disponibilidad al momento de la reserva</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gridSpan w:val="3"/>
            <w:noWrap/>
          </w:tcPr>
          <w:p>
            <w:pPr>
              <w:jc w:val="start"/>
              <w:spacing w:before="0" w:after="0"/>
            </w:pPr>
            <w:r>
              <w:rPr/>
              <w:t xml:space="preserve">VIGENCIA DEL 01 OCTUBRE AL 30 DE ABRIL 2026</w:t>
            </w:r>
            <w:br/>
            <w:r>
              <w:rPr/>
              <w:t xml:space="preserve">Excepto Temporada alta</w:t>
            </w:r>
          </w:p>
        </w:tc>
      </w:tr>
      <w:tr>
        <w:trPr/>
        <w:tc>
          <w:tcPr>
            <w:tcW w:w="7800" w:type="dxa"/>
            <w:noWrap/>
          </w:tcPr>
          <w:p>
            <w:pPr>
              <w:jc w:val="start"/>
              <w:spacing w:before="0" w:after="0"/>
            </w:pPr>
            <w:r>
              <w:rPr>
                <w:b w:val="1"/>
                <w:bCs w:val="1"/>
              </w:rPr>
              <w:t xml:space="preserve">CATEGORIA</w:t>
            </w:r>
          </w:p>
        </w:tc>
        <w:tc>
          <w:tcPr>
            <w:tcW w:w="7800" w:type="dxa"/>
            <w:noWrap/>
          </w:tcPr>
          <w:p>
            <w:pPr>
              <w:jc w:val="start"/>
              <w:spacing w:before="0" w:after="0"/>
            </w:pPr>
            <w:r>
              <w:rPr>
                <w:b w:val="1"/>
                <w:bCs w:val="1"/>
              </w:rPr>
              <w:t xml:space="preserve">SENCILLA</w:t>
            </w:r>
          </w:p>
        </w:tc>
        <w:tc>
          <w:tcPr>
            <w:tcW w:w="7800" w:type="dxa"/>
            <w:noWrap/>
          </w:tcPr>
          <w:p>
            <w:pPr>
              <w:jc w:val="start"/>
              <w:spacing w:before="0" w:after="0"/>
            </w:pPr>
            <w:r>
              <w:rPr>
                <w:b w:val="1"/>
                <w:bCs w:val="1"/>
              </w:rPr>
              <w:t xml:space="preserve">DOBLE</w:t>
            </w:r>
          </w:p>
        </w:tc>
      </w:tr>
      <w:tr>
        <w:trPr/>
        <w:tc>
          <w:tcPr>
            <w:tcW w:w="7800" w:type="dxa"/>
            <w:noWrap/>
          </w:tcPr>
          <w:p>
            <w:pPr>
              <w:jc w:val="start"/>
              <w:spacing w:before="0" w:after="0"/>
            </w:pPr>
            <w:r>
              <w:rPr/>
              <w:t xml:space="preserve">3* - TURISTA</w:t>
            </w:r>
          </w:p>
        </w:tc>
        <w:tc>
          <w:tcPr>
            <w:tcW w:w="7800" w:type="dxa"/>
            <w:noWrap/>
          </w:tcPr>
          <w:p>
            <w:pPr>
              <w:jc w:val="start"/>
              <w:spacing w:before="0" w:after="0"/>
            </w:pPr>
            <w:r>
              <w:rPr/>
              <w:t xml:space="preserve">1.973</w:t>
            </w:r>
          </w:p>
        </w:tc>
        <w:tc>
          <w:tcPr>
            <w:tcW w:w="7800" w:type="dxa"/>
            <w:noWrap/>
          </w:tcPr>
          <w:p>
            <w:pPr>
              <w:jc w:val="start"/>
              <w:spacing w:before="0" w:after="0"/>
            </w:pPr>
            <w:r>
              <w:rPr/>
              <w:t xml:space="preserve">1.460</w:t>
            </w:r>
          </w:p>
        </w:tc>
      </w:tr>
      <w:tr>
        <w:trPr/>
        <w:tc>
          <w:tcPr>
            <w:tcW w:w="7800" w:type="dxa"/>
            <w:noWrap/>
          </w:tcPr>
          <w:p>
            <w:pPr>
              <w:jc w:val="start"/>
              <w:spacing w:before="0" w:after="0"/>
            </w:pPr>
            <w:r>
              <w:rPr/>
              <w:t xml:space="preserve">4* - ESTÁNDAR</w:t>
            </w:r>
          </w:p>
        </w:tc>
        <w:tc>
          <w:tcPr>
            <w:tcW w:w="7800" w:type="dxa"/>
            <w:noWrap/>
          </w:tcPr>
          <w:p>
            <w:pPr>
              <w:jc w:val="start"/>
              <w:spacing w:before="0" w:after="0"/>
            </w:pPr>
            <w:r>
              <w:rPr/>
              <w:t xml:space="preserve">2.067</w:t>
            </w:r>
          </w:p>
        </w:tc>
        <w:tc>
          <w:tcPr>
            <w:tcW w:w="7800" w:type="dxa"/>
            <w:noWrap/>
          </w:tcPr>
          <w:p>
            <w:pPr>
              <w:jc w:val="start"/>
              <w:spacing w:before="0" w:after="0"/>
            </w:pPr>
            <w:r>
              <w:rPr/>
              <w:t xml:space="preserve">1.500</w:t>
            </w:r>
          </w:p>
        </w:tc>
      </w:tr>
      <w:tr>
        <w:trPr/>
        <w:tc>
          <w:tcPr>
            <w:tcW w:w="7800" w:type="dxa"/>
            <w:noWrap/>
          </w:tcPr>
          <w:p>
            <w:pPr>
              <w:jc w:val="start"/>
              <w:spacing w:before="0" w:after="0"/>
            </w:pPr>
            <w:r>
              <w:rPr/>
              <w:t xml:space="preserve">4* - PLUS</w:t>
            </w:r>
          </w:p>
        </w:tc>
        <w:tc>
          <w:tcPr>
            <w:tcW w:w="7800" w:type="dxa"/>
            <w:noWrap/>
          </w:tcPr>
          <w:p>
            <w:pPr>
              <w:jc w:val="start"/>
              <w:spacing w:before="0" w:after="0"/>
            </w:pPr>
            <w:r>
              <w:rPr/>
              <w:t xml:space="preserve">2.160</w:t>
            </w:r>
          </w:p>
        </w:tc>
        <w:tc>
          <w:tcPr>
            <w:tcW w:w="7800" w:type="dxa"/>
            <w:noWrap/>
          </w:tcPr>
          <w:p>
            <w:pPr>
              <w:jc w:val="start"/>
              <w:spacing w:before="0" w:after="0"/>
            </w:pPr>
            <w:r>
              <w:rPr/>
              <w:t xml:space="preserve">1.533</w:t>
            </w:r>
          </w:p>
        </w:tc>
      </w:tr>
      <w:tr>
        <w:trPr/>
        <w:tc>
          <w:tcPr>
            <w:tcW w:w="7800" w:type="dxa"/>
            <w:noWrap/>
          </w:tcPr>
          <w:p>
            <w:pPr>
              <w:jc w:val="start"/>
              <w:spacing w:before="0" w:after="0"/>
            </w:pPr>
            <w:r>
              <w:rPr/>
              <w:t xml:space="preserve">5* - ESTÁNDAR</w:t>
            </w:r>
          </w:p>
        </w:tc>
        <w:tc>
          <w:tcPr>
            <w:tcW w:w="7800" w:type="dxa"/>
            <w:noWrap/>
          </w:tcPr>
          <w:p>
            <w:pPr>
              <w:jc w:val="start"/>
              <w:spacing w:before="0" w:after="0"/>
            </w:pPr>
            <w:r>
              <w:rPr/>
              <w:t xml:space="preserve">2.327</w:t>
            </w:r>
          </w:p>
        </w:tc>
        <w:tc>
          <w:tcPr>
            <w:tcW w:w="7800" w:type="dxa"/>
            <w:noWrap/>
          </w:tcPr>
          <w:p>
            <w:pPr>
              <w:jc w:val="start"/>
              <w:spacing w:before="0" w:after="0"/>
            </w:pPr>
            <w:r>
              <w:rPr/>
              <w:t xml:space="preserve">1.640</w:t>
            </w:r>
          </w:p>
        </w:tc>
      </w:tr>
      <w:tr>
        <w:trPr/>
        <w:tc>
          <w:tcPr>
            <w:tcW w:w="7800" w:type="dxa"/>
            <w:noWrap/>
          </w:tcPr>
          <w:p>
            <w:pPr>
              <w:jc w:val="start"/>
              <w:spacing w:before="0" w:after="0"/>
            </w:pPr>
            <w:r>
              <w:rPr/>
              <w:t xml:space="preserve">5* - PLUS</w:t>
            </w:r>
          </w:p>
        </w:tc>
        <w:tc>
          <w:tcPr>
            <w:tcW w:w="7800" w:type="dxa"/>
            <w:noWrap/>
          </w:tcPr>
          <w:p>
            <w:pPr>
              <w:jc w:val="start"/>
              <w:spacing w:before="0" w:after="0"/>
            </w:pPr>
            <w:r>
              <w:rPr/>
              <w:t xml:space="preserve">2.740</w:t>
            </w:r>
          </w:p>
        </w:tc>
        <w:tc>
          <w:tcPr>
            <w:tcW w:w="7800" w:type="dxa"/>
            <w:noWrap/>
          </w:tcPr>
          <w:p>
            <w:pPr>
              <w:jc w:val="start"/>
              <w:spacing w:before="0" w:after="0"/>
            </w:pPr>
            <w:r>
              <w:rPr/>
              <w:t xml:space="preserve">1.840</w:t>
            </w:r>
          </w:p>
        </w:tc>
      </w:tr>
    </w:tbl>
    <w:p>
      <w:pPr>
        <w:spacing w:before="0" w:after="0"/>
      </w:pPr>
      <w:r>
        <w:rPr>
          <w:b w:val="1"/>
          <w:bCs w:val="1"/>
        </w:rPr>
        <w:t xml:space="preserve">NO INCLUYE: 2% de fee bancario</w:t>
      </w:r>
    </w:p>
    <w:p>
      <w:pPr>
        <w:spacing w:before="0" w:after="0"/>
      </w:pPr>
      <w:r>
        <w:rPr>
          <w:b w:val="1"/>
          <w:bCs w:val="1"/>
        </w:rPr>
        <w:t xml:space="preserve">NOTA: </w:t>
      </w:r>
      <w:r>
        <w:rPr/>
        <w:t xml:space="preserve">Los precios publicados en dólares (USD) son referenciales y el pago deberá realizarse en pesos colombianos (COP) a la tasa de cambio interna que haya sido fijada por MEGA TRAVEL SAS o a la tasa de cambio oficial TRM vigente al momento de la compra.</w:t>
      </w:r>
      <w:br/>
      <w:br/>
      <w:hyperlink r:id="rId9" w:history="1">
        <w:r>
          <w:rPr/>
          <w:t xml:space="preserve">SUPLEMENTO TEMPORDA ALTA</w:t>
        </w:r>
      </w:hyperlink>
    </w:p>
    <w:tbl>
      <w:tblGrid>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noWrap/>
          </w:tcPr>
          <w:p>
            <w:pPr>
              <w:jc w:val="start"/>
              <w:spacing w:before="0" w:after="0"/>
            </w:pPr>
            <w:r>
              <w:rPr>
                <w:b w:val="1"/>
                <w:bCs w:val="1"/>
              </w:rPr>
              <w:t xml:space="preserve">CATEGORIA</w:t>
            </w:r>
          </w:p>
        </w:tc>
        <w:tc>
          <w:tcPr>
            <w:tcW w:w="7800" w:type="dxa"/>
            <w:noWrap/>
          </w:tcPr>
          <w:p>
            <w:pPr>
              <w:jc w:val="start"/>
              <w:spacing w:before="0" w:after="0"/>
            </w:pPr>
            <w:r>
              <w:rPr>
                <w:b w:val="1"/>
                <w:bCs w:val="1"/>
              </w:rPr>
              <w:t xml:space="preserve">PRECIO NETO POR HABITACION POR NOCHE</w:t>
            </w:r>
          </w:p>
        </w:tc>
      </w:tr>
      <w:tr>
        <w:trPr/>
        <w:tc>
          <w:tcPr>
            <w:tcW w:w="7800" w:type="dxa"/>
            <w:noWrap/>
          </w:tcPr>
          <w:p>
            <w:pPr>
              <w:jc w:val="start"/>
              <w:spacing w:before="0" w:after="0"/>
            </w:pPr>
            <w:r>
              <w:rPr/>
              <w:t xml:space="preserve">3* - TURISTA</w:t>
            </w:r>
          </w:p>
        </w:tc>
        <w:tc>
          <w:tcPr>
            <w:tcW w:w="7800" w:type="dxa"/>
            <w:noWrap/>
          </w:tcPr>
          <w:p>
            <w:pPr>
              <w:jc w:val="start"/>
              <w:spacing w:before="0" w:after="0"/>
            </w:pPr>
            <w:r>
              <w:rPr/>
              <w:t xml:space="preserve">89</w:t>
            </w:r>
          </w:p>
        </w:tc>
      </w:tr>
      <w:tr>
        <w:trPr/>
        <w:tc>
          <w:tcPr>
            <w:tcW w:w="7800" w:type="dxa"/>
            <w:noWrap/>
          </w:tcPr>
          <w:p>
            <w:pPr>
              <w:jc w:val="start"/>
              <w:spacing w:before="0" w:after="0"/>
            </w:pPr>
            <w:r>
              <w:rPr/>
              <w:t xml:space="preserve">4* - ESTÁNDAR</w:t>
            </w:r>
          </w:p>
        </w:tc>
        <w:tc>
          <w:tcPr>
            <w:tcW w:w="7800" w:type="dxa"/>
            <w:noWrap/>
          </w:tcPr>
          <w:p>
            <w:pPr>
              <w:jc w:val="start"/>
              <w:spacing w:before="0" w:after="0"/>
            </w:pPr>
            <w:r>
              <w:rPr/>
              <w:t xml:space="preserve">89</w:t>
            </w:r>
          </w:p>
        </w:tc>
      </w:tr>
      <w:tr>
        <w:trPr/>
        <w:tc>
          <w:tcPr>
            <w:tcW w:w="7800" w:type="dxa"/>
            <w:noWrap/>
          </w:tcPr>
          <w:p>
            <w:pPr>
              <w:jc w:val="start"/>
              <w:spacing w:before="0" w:after="0"/>
            </w:pPr>
            <w:r>
              <w:rPr/>
              <w:t xml:space="preserve">4* - PLUS</w:t>
            </w:r>
          </w:p>
        </w:tc>
        <w:tc>
          <w:tcPr>
            <w:tcW w:w="7800" w:type="dxa"/>
            <w:noWrap/>
          </w:tcPr>
          <w:p>
            <w:pPr>
              <w:jc w:val="start"/>
              <w:spacing w:before="0" w:after="0"/>
            </w:pPr>
            <w:r>
              <w:rPr/>
              <w:t xml:space="preserve">94</w:t>
            </w:r>
          </w:p>
        </w:tc>
      </w:tr>
      <w:tr>
        <w:trPr/>
        <w:tc>
          <w:tcPr>
            <w:tcW w:w="7800" w:type="dxa"/>
            <w:noWrap/>
          </w:tcPr>
          <w:p>
            <w:pPr>
              <w:jc w:val="start"/>
              <w:spacing w:before="0" w:after="0"/>
            </w:pPr>
            <w:r>
              <w:rPr/>
              <w:t xml:space="preserve">5* - ESTÁNDAR</w:t>
            </w:r>
          </w:p>
        </w:tc>
        <w:tc>
          <w:tcPr>
            <w:tcW w:w="7800" w:type="dxa"/>
            <w:noWrap/>
          </w:tcPr>
          <w:p>
            <w:pPr>
              <w:jc w:val="start"/>
              <w:spacing w:before="0" w:after="0"/>
            </w:pPr>
            <w:r>
              <w:rPr/>
              <w:t xml:space="preserve">100</w:t>
            </w:r>
          </w:p>
        </w:tc>
      </w:tr>
      <w:tr>
        <w:trPr/>
        <w:tc>
          <w:tcPr>
            <w:tcW w:w="7800" w:type="dxa"/>
            <w:noWrap/>
          </w:tcPr>
          <w:p>
            <w:pPr>
              <w:jc w:val="start"/>
              <w:spacing w:before="0" w:after="0"/>
            </w:pPr>
            <w:r>
              <w:rPr/>
              <w:t xml:space="preserve">5* - PLUS</w:t>
            </w:r>
          </w:p>
        </w:tc>
        <w:tc>
          <w:tcPr>
            <w:tcW w:w="7800" w:type="dxa"/>
            <w:noWrap/>
          </w:tcPr>
          <w:p>
            <w:pPr>
              <w:jc w:val="start"/>
              <w:spacing w:before="0" w:after="0"/>
            </w:pPr>
            <w:r>
              <w:rPr/>
              <w:t xml:space="preserve">106</w:t>
            </w:r>
          </w:p>
        </w:tc>
      </w:tr>
    </w:tbl>
    <w:p>
      <w:pPr>
        <w:spacing w:before="0" w:after="0"/>
      </w:pPr>
      <w:hyperlink r:id="rId9" w:history="1">
        <w:r>
          <w:rPr/>
          <w:t xml:space="preserve">FECHAS DE TEMPORADA ALTA EN DUBAI</w:t>
        </w:r>
      </w:hyperlink>
    </w:p>
    <w:tbl>
      <w:tblGrid>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noWrap/>
          </w:tcPr>
          <w:p>
            <w:pPr>
              <w:jc w:val="start"/>
              <w:spacing w:before="0" w:after="0"/>
            </w:pPr>
            <w:r>
              <w:rPr>
                <w:b w:val="1"/>
                <w:bCs w:val="1"/>
              </w:rPr>
              <w:t xml:space="preserve">GITEX</w:t>
            </w:r>
          </w:p>
        </w:tc>
        <w:tc>
          <w:tcPr>
            <w:tcW w:w="7800" w:type="dxa"/>
            <w:noWrap/>
          </w:tcPr>
          <w:p>
            <w:pPr>
              <w:jc w:val="start"/>
              <w:spacing w:before="0" w:after="0"/>
            </w:pPr>
            <w:r>
              <w:rPr/>
              <w:t xml:space="preserve">13 al 17 octubre - 2025</w:t>
            </w:r>
          </w:p>
        </w:tc>
      </w:tr>
      <w:tr>
        <w:trPr/>
        <w:tc>
          <w:tcPr>
            <w:tcW w:w="7800" w:type="dxa"/>
            <w:noWrap/>
          </w:tcPr>
          <w:p>
            <w:pPr>
              <w:jc w:val="start"/>
              <w:spacing w:before="0" w:after="0"/>
            </w:pPr>
            <w:r>
              <w:rPr>
                <w:b w:val="1"/>
                <w:bCs w:val="1"/>
              </w:rPr>
              <w:t xml:space="preserve">BIG5</w:t>
            </w:r>
          </w:p>
        </w:tc>
        <w:tc>
          <w:tcPr>
            <w:tcW w:w="7800" w:type="dxa"/>
            <w:noWrap/>
          </w:tcPr>
          <w:p>
            <w:pPr>
              <w:jc w:val="start"/>
              <w:spacing w:before="0" w:after="0"/>
            </w:pPr>
            <w:r>
              <w:rPr/>
              <w:t xml:space="preserve">24 al 28 noviembre - 2025</w:t>
            </w:r>
          </w:p>
        </w:tc>
      </w:tr>
      <w:tr>
        <w:trPr/>
        <w:tc>
          <w:tcPr>
            <w:tcW w:w="7800" w:type="dxa"/>
            <w:noWrap/>
          </w:tcPr>
          <w:p>
            <w:pPr>
              <w:jc w:val="start"/>
              <w:spacing w:before="0" w:after="0"/>
            </w:pPr>
            <w:r>
              <w:rPr>
                <w:b w:val="1"/>
                <w:bCs w:val="1"/>
              </w:rPr>
              <w:t xml:space="preserve">FIN DE AÑO</w:t>
            </w:r>
          </w:p>
        </w:tc>
        <w:tc>
          <w:tcPr>
            <w:tcW w:w="7800" w:type="dxa"/>
            <w:noWrap/>
          </w:tcPr>
          <w:p>
            <w:pPr>
              <w:jc w:val="start"/>
              <w:spacing w:before="0" w:after="0"/>
            </w:pPr>
            <w:r>
              <w:rPr/>
              <w:t xml:space="preserve">26 diciembre 2025 hasta 05 enero2026</w:t>
            </w:r>
          </w:p>
        </w:tc>
      </w:tr>
      <w:tr>
        <w:trPr/>
        <w:tc>
          <w:tcPr>
            <w:tcW w:w="7800" w:type="dxa"/>
            <w:noWrap/>
          </w:tcPr>
          <w:p>
            <w:pPr>
              <w:jc w:val="start"/>
              <w:spacing w:before="0" w:after="0"/>
            </w:pPr>
            <w:r>
              <w:rPr>
                <w:b w:val="1"/>
                <w:bCs w:val="1"/>
              </w:rPr>
              <w:t xml:space="preserve">GULF FOOD</w:t>
            </w:r>
          </w:p>
        </w:tc>
        <w:tc>
          <w:tcPr>
            <w:tcW w:w="7800" w:type="dxa"/>
            <w:noWrap/>
          </w:tcPr>
          <w:p>
            <w:pPr>
              <w:jc w:val="start"/>
              <w:spacing w:before="0" w:after="0"/>
            </w:pPr>
            <w:r>
              <w:rPr/>
              <w:t xml:space="preserve">25 al 31 enero 2026</w:t>
            </w:r>
          </w:p>
        </w:tc>
      </w:tr>
      <w:tr>
        <w:trPr/>
        <w:tc>
          <w:tcPr>
            <w:tcW w:w="7800" w:type="dxa"/>
            <w:noWrap/>
          </w:tcPr>
          <w:p>
            <w:pPr>
              <w:jc w:val="start"/>
              <w:spacing w:before="0" w:after="0"/>
            </w:pPr>
            <w:r>
              <w:rPr>
                <w:b w:val="1"/>
                <w:bCs w:val="1"/>
              </w:rPr>
              <w:t xml:space="preserve">ARAB HEALTH  </w:t>
            </w:r>
          </w:p>
        </w:tc>
        <w:tc>
          <w:tcPr>
            <w:tcW w:w="7800" w:type="dxa"/>
            <w:noWrap/>
          </w:tcPr>
          <w:p>
            <w:pPr>
              <w:jc w:val="start"/>
              <w:spacing w:before="0" w:after="0"/>
            </w:pPr>
            <w:r>
              <w:rPr/>
              <w:t xml:space="preserve">08 al 13 febrero 2026</w:t>
            </w:r>
          </w:p>
        </w:tc>
      </w:tr>
    </w:tbl>
    <w:p>
      <w:pPr>
        <w:spacing w:before="0" w:after="0"/>
      </w:pPr>
      <w:r>
        <w:rPr>
          <w:b w:val="1"/>
          <w:bCs w:val="1"/>
        </w:rPr>
        <w:t xml:space="preserve">FECHAS DE TEMPORADA ALTA EN ABU DHABI</w:t>
      </w:r>
    </w:p>
    <w:tbl>
      <w:tblGrid>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noWrap/>
          </w:tcPr>
          <w:p>
            <w:pPr>
              <w:jc w:val="start"/>
              <w:spacing w:before="0" w:after="0"/>
            </w:pPr>
            <w:r>
              <w:rPr>
                <w:b w:val="1"/>
                <w:bCs w:val="1"/>
              </w:rPr>
              <w:t xml:space="preserve">ADIPEC</w:t>
            </w:r>
          </w:p>
        </w:tc>
        <w:tc>
          <w:tcPr>
            <w:tcW w:w="7800" w:type="dxa"/>
            <w:noWrap/>
          </w:tcPr>
          <w:p>
            <w:pPr>
              <w:jc w:val="start"/>
              <w:spacing w:before="0" w:after="0"/>
            </w:pPr>
            <w:r>
              <w:rPr/>
              <w:t xml:space="preserve">02 al 07 noviembre 2025</w:t>
            </w:r>
          </w:p>
        </w:tc>
      </w:tr>
      <w:tr>
        <w:trPr/>
        <w:tc>
          <w:tcPr>
            <w:tcW w:w="7800" w:type="dxa"/>
            <w:noWrap/>
          </w:tcPr>
          <w:p>
            <w:pPr>
              <w:jc w:val="start"/>
              <w:spacing w:before="0" w:after="0"/>
            </w:pPr>
            <w:r>
              <w:rPr>
                <w:b w:val="1"/>
                <w:bCs w:val="1"/>
              </w:rPr>
              <w:t xml:space="preserve">FORMULA 1</w:t>
            </w:r>
          </w:p>
        </w:tc>
        <w:tc>
          <w:tcPr>
            <w:tcW w:w="7800" w:type="dxa"/>
            <w:noWrap/>
          </w:tcPr>
          <w:p>
            <w:pPr>
              <w:jc w:val="start"/>
              <w:spacing w:before="0" w:after="0"/>
            </w:pPr>
            <w:r>
              <w:rPr/>
              <w:t xml:space="preserve">05 al 08 diciembre 2025</w:t>
            </w:r>
          </w:p>
        </w:tc>
      </w:tr>
      <w:tr>
        <w:trPr/>
        <w:tc>
          <w:tcPr>
            <w:tcW w:w="7800" w:type="dxa"/>
            <w:noWrap/>
          </w:tcPr>
          <w:p>
            <w:pPr>
              <w:jc w:val="start"/>
              <w:spacing w:before="0" w:after="0"/>
            </w:pPr>
            <w:r>
              <w:rPr>
                <w:b w:val="1"/>
                <w:bCs w:val="1"/>
              </w:rPr>
              <w:t xml:space="preserve">FIN DE AÑO</w:t>
            </w:r>
          </w:p>
        </w:tc>
        <w:tc>
          <w:tcPr>
            <w:tcW w:w="7800" w:type="dxa"/>
            <w:noWrap/>
          </w:tcPr>
          <w:p>
            <w:pPr>
              <w:jc w:val="start"/>
              <w:spacing w:before="0" w:after="0"/>
            </w:pPr>
            <w:r>
              <w:rPr/>
              <w:t xml:space="preserve">26 diciembre 2025 hasta 05 enero 2026</w:t>
            </w:r>
          </w:p>
        </w:tc>
      </w:tr>
    </w:tbl>
    <w:p>
      <w:pPr>
        <w:spacing w:before="0" w:after="0"/>
      </w:pPr>
      <w:r>
        <w:rPr>
          <w:b w:val="1"/>
          <w:bCs w:val="1"/>
        </w:rPr>
        <w:t xml:space="preserve">TARIFA DE NIÑOS:</w:t>
      </w:r>
      <w:br/>
      <w:r>
        <w:rPr/>
        <w:t xml:space="preserve">Niños compartiendo en la misma habitación con sus padres sin cama adicional (máximo 2 adultos + 1 niño)</w:t>
      </w:r>
      <w:br/>
      <w:r>
        <w:rPr/>
        <w:t xml:space="preserve">• 0 – 2 años gratis. (Paga suplemento para la excursión en safari 4x4 USD 35 netos).</w:t>
      </w:r>
      <w:br/>
      <w:r>
        <w:rPr/>
        <w:t xml:space="preserve">• 3 – 5 años descuento 75% sobre la tarifa del adulto en Doble.</w:t>
      </w:r>
      <w:br/>
      <w:r>
        <w:rPr/>
        <w:t xml:space="preserve">• 6 – 11 años descuento 50% sobre la tarifa del adulto en Doble.</w:t>
      </w:r>
    </w:p>
    <w:p>
      <w:pPr>
        <w:spacing w:before="0" w:after="0"/>
      </w:pPr>
      <w:r>
        <w:rPr>
          <w:b w:val="1"/>
          <w:bCs w:val="1"/>
        </w:rPr>
        <w:t xml:space="preserve">VISITAS Y EXCURSIONES </w:t>
      </w:r>
      <w:br/>
      <w:r>
        <w:rPr/>
        <w:t xml:space="preserve">• Las visitas o tours sugeridos cuyo valor está descrito en el programa serán ofrecidos 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br/>
      <w:r>
        <w:rPr/>
        <w:t xml:space="preserve">• No nos haremos responsables por los servicios contratados en otras empresas.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1"/>
                <w:bCs w:val="1"/>
                <w:shd w:val="clear" w:fill="152441"/>
              </w:rPr>
              <w:t xml:space="preserve">CATEGORIA</w:t>
            </w:r>
          </w:p>
        </w:tc>
        <w:tc>
          <w:tcPr>
            <w:tcW w:w="7800" w:type="dxa"/>
            <w:shd w:val="clear" w:fill="152441"/>
            <w:noWrap/>
          </w:tcPr>
          <w:p>
            <w:pPr>
              <w:jc w:val="start"/>
              <w:spacing w:before="0" w:after="0"/>
            </w:pPr>
            <w:r>
              <w:rPr>
                <w:color w:val="ffffff"/>
                <w:sz w:val="21"/>
                <w:szCs w:val="21"/>
                <w:b w:val="1"/>
                <w:bCs w:val="1"/>
                <w:shd w:val="clear" w:fill="152441"/>
              </w:rPr>
              <w:t xml:space="preserve">HOTEL</w:t>
            </w:r>
          </w:p>
        </w:tc>
      </w:tr>
      <w:tr>
        <w:trPr/>
        <w:tc>
          <w:tcPr>
            <w:tcW w:w="7800" w:type="dxa"/>
            <w:noWrap/>
          </w:tcPr>
          <w:p>
            <w:pPr>
              <w:jc w:val="start"/>
              <w:spacing w:before="0" w:after="0"/>
            </w:pPr>
            <w:r>
              <w:rPr/>
              <w:t xml:space="preserve">3* TURISTA</w:t>
            </w:r>
          </w:p>
        </w:tc>
        <w:tc>
          <w:tcPr>
            <w:tcW w:w="7800" w:type="dxa"/>
            <w:noWrap/>
          </w:tcPr>
          <w:p>
            <w:pPr>
              <w:jc w:val="start"/>
              <w:spacing w:before="0" w:after="0"/>
            </w:pPr>
            <w:r>
              <w:rPr/>
              <w:t xml:space="preserve">Hampton by Hilton Airport - City Avenue o similar.</w:t>
            </w:r>
          </w:p>
        </w:tc>
      </w:tr>
      <w:tr>
        <w:trPr/>
        <w:tc>
          <w:tcPr>
            <w:tcW w:w="7800" w:type="dxa"/>
            <w:noWrap/>
          </w:tcPr>
          <w:p>
            <w:pPr>
              <w:jc w:val="start"/>
              <w:spacing w:before="0" w:after="0"/>
            </w:pPr>
            <w:r>
              <w:rPr/>
              <w:t xml:space="preserve">4* ESTÁNDAR</w:t>
            </w:r>
          </w:p>
        </w:tc>
        <w:tc>
          <w:tcPr>
            <w:tcW w:w="7800" w:type="dxa"/>
            <w:noWrap/>
          </w:tcPr>
          <w:p>
            <w:pPr>
              <w:jc w:val="start"/>
              <w:spacing w:before="0" w:after="0"/>
            </w:pPr>
            <w:r>
              <w:rPr/>
              <w:t xml:space="preserve">Signature 1 - Donatello Al Barsha o similar.</w:t>
            </w:r>
          </w:p>
        </w:tc>
      </w:tr>
      <w:tr>
        <w:trPr/>
        <w:tc>
          <w:tcPr>
            <w:tcW w:w="7800" w:type="dxa"/>
            <w:noWrap/>
          </w:tcPr>
          <w:p>
            <w:pPr>
              <w:jc w:val="start"/>
              <w:spacing w:before="0" w:after="0"/>
            </w:pPr>
            <w:r>
              <w:rPr/>
              <w:t xml:space="preserve">4* SUPERIOR / PLUS</w:t>
            </w:r>
          </w:p>
        </w:tc>
        <w:tc>
          <w:tcPr>
            <w:tcW w:w="7800" w:type="dxa"/>
            <w:noWrap/>
          </w:tcPr>
          <w:p>
            <w:pPr>
              <w:jc w:val="start"/>
              <w:spacing w:before="0" w:after="0"/>
            </w:pPr>
            <w:r>
              <w:rPr/>
              <w:t xml:space="preserve">Alkhoory Sky Garden - Hilton Garden Inn Mall o similar.</w:t>
            </w:r>
          </w:p>
        </w:tc>
      </w:tr>
      <w:tr>
        <w:trPr/>
        <w:tc>
          <w:tcPr>
            <w:tcW w:w="7800" w:type="dxa"/>
            <w:noWrap/>
          </w:tcPr>
          <w:p>
            <w:pPr>
              <w:jc w:val="start"/>
              <w:spacing w:before="0" w:after="0"/>
            </w:pPr>
            <w:r>
              <w:rPr/>
              <w:t xml:space="preserve">5* PRIMERA / ESTÁNDAR</w:t>
            </w:r>
          </w:p>
        </w:tc>
        <w:tc>
          <w:tcPr>
            <w:tcW w:w="7800" w:type="dxa"/>
            <w:noWrap/>
          </w:tcPr>
          <w:p>
            <w:pPr>
              <w:jc w:val="start"/>
              <w:spacing w:before="0" w:after="0"/>
            </w:pPr>
            <w:r>
              <w:rPr/>
              <w:t xml:space="preserve">Asiana - Avani o similar.</w:t>
            </w:r>
          </w:p>
        </w:tc>
      </w:tr>
      <w:tr>
        <w:trPr/>
        <w:tc>
          <w:tcPr>
            <w:tcW w:w="7800" w:type="dxa"/>
            <w:noWrap/>
          </w:tcPr>
          <w:p>
            <w:pPr>
              <w:jc w:val="start"/>
              <w:spacing w:before="0" w:after="0"/>
            </w:pPr>
            <w:r>
              <w:rPr/>
              <w:t xml:space="preserve">5* PLUS</w:t>
            </w:r>
          </w:p>
        </w:tc>
        <w:tc>
          <w:tcPr>
            <w:tcW w:w="7800" w:type="dxa"/>
            <w:noWrap/>
          </w:tcPr>
          <w:p>
            <w:pPr>
              <w:jc w:val="start"/>
              <w:spacing w:before="0" w:after="0"/>
            </w:pPr>
            <w:r>
              <w:rPr/>
              <w:t xml:space="preserve">Media Rotana o similar.</w:t>
            </w:r>
          </w:p>
        </w:tc>
      </w:tr>
    </w:tbl>
    <w:p>
      <w:pPr>
        <w:spacing w:before="0" w:after="0"/>
      </w:pPr>
      <w:r>
        <w:rPr/>
        <w:t xml:space="preserve">Ésta es la relación de los hoteles utilizados más frecuentemente en este circuito. Reflejada tan sólo a efectos indicativos, pudiendo ser el pasajero alojado en establecimientos similares o alternativos en la misma categoría.</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08 noches de Alojamiento en el hotel seleccionado.</w:t>
      </w:r>
    </w:p>
    <w:p>
      <w:pPr>
        <w:numPr>
          <w:ilvl w:val="1"/>
          <w:numId w:val="1"/>
        </w:numPr>
      </w:pPr>
      <w:r>
        <w:rPr/>
        <w:t xml:space="preserve">Entrada al Burj Khalifa piso 124/5 horario no premium.</w:t>
      </w:r>
    </w:p>
    <w:p>
      <w:pPr>
        <w:numPr>
          <w:ilvl w:val="1"/>
          <w:numId w:val="1"/>
        </w:numPr>
      </w:pPr>
      <w:r>
        <w:rPr/>
        <w:t xml:space="preserve">Entrada al Acuario del Dubái Mall.</w:t>
      </w:r>
    </w:p>
    <w:p>
      <w:pPr>
        <w:numPr>
          <w:ilvl w:val="1"/>
          <w:numId w:val="1"/>
        </w:numPr>
      </w:pPr>
      <w:r>
        <w:rPr/>
        <w:t xml:space="preserve">Visita al parque acuático Aquaventure del Hotel Atlantis con traslados y asistencia de habla hispana.</w:t>
      </w:r>
    </w:p>
    <w:p>
      <w:pPr>
        <w:numPr>
          <w:ilvl w:val="1"/>
          <w:numId w:val="1"/>
        </w:numPr>
      </w:pPr>
      <w:r>
        <w:rPr/>
        <w:t xml:space="preserve">Excursión de día completo a Abu Dhabi con almuerzo, con guía de habla hispana.</w:t>
      </w:r>
    </w:p>
    <w:p>
      <w:pPr>
        <w:numPr>
          <w:ilvl w:val="1"/>
          <w:numId w:val="1"/>
        </w:numPr>
      </w:pPr>
      <w:r>
        <w:rPr/>
        <w:t xml:space="preserve">Safari en el desierto en servicio compartido con cena y transporte en inglés.</w:t>
      </w:r>
    </w:p>
    <w:p>
      <w:pPr>
        <w:numPr>
          <w:ilvl w:val="1"/>
          <w:numId w:val="1"/>
        </w:numPr>
      </w:pPr>
      <w:r>
        <w:rPr/>
        <w:t xml:space="preserve">Visita al parque de nieve Ski Dubái en el Mall of the Emirates con traslados y asistencia de habla hispana.</w:t>
      </w:r>
    </w:p>
    <w:p>
      <w:pPr>
        <w:numPr>
          <w:ilvl w:val="1"/>
          <w:numId w:val="1"/>
        </w:numPr>
      </w:pPr>
      <w:r>
        <w:rPr/>
        <w:t xml:space="preserve">VAT 5%.</w:t>
      </w:r>
    </w:p>
    <w:p>
      <w:pPr>
        <w:numPr>
          <w:ilvl w:val="1"/>
          <w:numId w:val="1"/>
        </w:numPr>
      </w:pPr>
      <w:r>
        <w:rPr/>
        <w:t xml:space="preserve">Traslados aeropuerto – hotel - aeropuerto en auto con aire acondicionado en servicio compartido.</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Tiquete aéreo internacional o doméstico, equipaje, impuestos, tasas y otros cargos.</w:t>
      </w:r>
    </w:p>
    <w:p>
      <w:pPr>
        <w:numPr>
          <w:ilvl w:val="1"/>
          <w:numId w:val="1"/>
        </w:numPr>
      </w:pPr>
      <w:r>
        <w:rPr/>
        <w:t xml:space="preserve">Dubái Toursim Fee (A pagar directamente por el cliente al Hotel)</w:t>
      </w:r>
    </w:p>
    <w:p>
      <w:pPr>
        <w:numPr>
          <w:ilvl w:val="1"/>
          <w:numId w:val="1"/>
        </w:numPr>
      </w:pPr>
      <w:r>
        <w:rPr/>
        <w:t xml:space="preserve">Propinas para guías, conductores, maleteros meseros entre otros.</w:t>
      </w:r>
    </w:p>
    <w:p>
      <w:pPr>
        <w:numPr>
          <w:ilvl w:val="1"/>
          <w:numId w:val="1"/>
        </w:numPr>
      </w:pPr>
      <w:r>
        <w:rPr/>
        <w:t xml:space="preserve">Cargos adicionales e impuestos que deban ser pagados directamente por los clientes en el destino, hoteles y restaurantes entre otros.</w:t>
      </w:r>
    </w:p>
    <w:p>
      <w:pPr>
        <w:numPr>
          <w:ilvl w:val="1"/>
          <w:numId w:val="1"/>
        </w:numPr>
      </w:pPr>
      <w:r>
        <w:rPr/>
        <w:t xml:space="preserve">Bebidas en las comidas incluidas.</w:t>
      </w:r>
    </w:p>
    <w:p>
      <w:pPr>
        <w:numPr>
          <w:ilvl w:val="1"/>
          <w:numId w:val="1"/>
        </w:numPr>
      </w:pPr>
      <w:r>
        <w:rPr/>
        <w:t xml:space="preserve">Excursiones opcionales.</w:t>
      </w:r>
    </w:p>
    <w:p>
      <w:pPr>
        <w:numPr>
          <w:ilvl w:val="1"/>
          <w:numId w:val="1"/>
        </w:numPr>
      </w:pPr>
      <w:r>
        <w:rPr/>
        <w:t xml:space="preserve">Gastos personales y servicios no especificados</w:t>
      </w:r>
    </w:p>
    <w:p>
      <w:pPr>
        <w:numPr>
          <w:ilvl w:val="1"/>
          <w:numId w:val="1"/>
        </w:numPr>
      </w:pPr>
      <w:r>
        <w:rPr/>
        <w:t xml:space="preserve">Tarjeta de asistencia.</w:t>
      </w:r>
    </w:p>
    <w:p>
      <w:pPr>
        <w:numPr>
          <w:ilvl w:val="1"/>
          <w:numId w:val="1"/>
        </w:numPr>
      </w:pPr>
      <w:r>
        <w:rPr/>
        <w:t xml:space="preserve">2% de Fee bancario, sobre el valor total de la porción terrestre.</w:t>
      </w:r>
    </w:p>
    <w:p>
      <w:pPr>
        <w:numPr>
          <w:ilvl w:val="1"/>
          <w:numId w:val="1"/>
        </w:numPr>
      </w:pPr>
      <w:r>
        <w:rPr/>
        <w:t xml:space="preserve">Suplemento pago con tarjeta crédito VISA y MÁSTER CARD del 3.3% de gestión bancaria.</w:t>
      </w:r>
    </w:p>
    <w:sectPr>
      <w:headerReference w:type="default" r:id="rId10"/>
      <w:footerReference w:type="default" r:id="rId11"/>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F50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2025-12-14T06:57:56+00:00</dcterms:created>
  <dcterms:modified xsi:type="dcterms:W3CDTF">2025-12-14T06:57:56+00:00</dcterms:modified>
</cp:coreProperties>
</file>

<file path=docProps/custom.xml><?xml version="1.0" encoding="utf-8"?>
<Properties xmlns="http://schemas.openxmlformats.org/officeDocument/2006/custom-properties" xmlns:vt="http://schemas.openxmlformats.org/officeDocument/2006/docPropsVTypes"/>
</file>