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EGIPTO II                    </w:t>
      </w:r>
    </w:p>
    <w:p>
      <w:pPr/>
      <w:r>
        <w:rPr>
          <w:rFonts w:ascii="Arial" w:hAnsi="Arial" w:eastAsia="Arial" w:cs="Arial"/>
          <w:color w:val="light"/>
          <w:sz w:val="22"/>
          <w:szCs w:val="22"/>
          <w:b w:val="0"/>
          <w:bCs w:val="0"/>
        </w:rPr>
        <w:t xml:space="preserve">MTC - 28529</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$912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El Cairo, </w:t>
      </w:r>
      <w:r>
        <w:rPr/>
        <w:t xml:space="preserve">Luxor, </w:t>
      </w:r>
      <w:r>
        <w:rPr/>
        <w:t xml:space="preserve">Esna, </w:t>
      </w:r>
      <w:r>
        <w:rPr/>
        <w:t xml:space="preserve">Edfu, </w:t>
      </w:r>
      <w:r>
        <w:rPr/>
        <w:t xml:space="preserve">Kom Ombo, </w:t>
      </w:r>
      <w:r>
        <w:rPr/>
        <w:t xml:space="preserve">Aswan,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(MIÉRCOLES)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(JUEVES) ESTAMBUL.</w:t>
      </w:r>
      <w:br/>
      <w:r>
        <w:rPr/>
        <w:t xml:space="preserve">Desayuno. Día libre. Posibilidad de tomar la excursión opcional: </w:t>
      </w:r>
      <w:r>
        <w:rPr>
          <w:b w:val="1"/>
          <w:bCs w:val="1"/>
        </w:rPr>
        <w:t xml:space="preserve">“PERLAS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(VIERNES) ESTAMBUL.</w:t>
      </w:r>
      <w:br/>
      <w:r>
        <w:rPr/>
        <w:t xml:space="preserve">Desayuno. Día libre. Posibilidad de tomar la excursión opcional </w:t>
      </w: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w:t>
      </w:r>
      <w:r>
        <w:rPr/>
        <w:t xml:space="preserve"> Para el ingreso a la Santa Sofía consultar suplemento).</w:t>
      </w:r>
    </w:p>
    <w:p>
      <w:pPr/>
      <w:r>
        <w:rPr>
          <w:b w:val="1"/>
          <w:bCs w:val="1"/>
        </w:rPr>
        <w:t xml:space="preserve">DÍA 04 (SÁBADO) ESTAMBUL – EL CAIRO.</w:t>
      </w:r>
      <w:br/>
      <w:r>
        <w:rPr/>
        <w:t xml:space="preserve">Desayuno. Traslado al Aeropuerto (IST) y vuelo con destino a El Cairo (Vuelo NO incluido).</w:t>
      </w:r>
    </w:p>
    <w:p>
      <w:pPr/>
      <w:r>
        <w:rPr/>
        <w:t xml:space="preserve">Llegada al aeropuerto de El Cairo. Asistencia y traslado al hotel. Alojamiento.</w:t>
      </w:r>
    </w:p>
    <w:p>
      <w:pPr/>
      <w:r>
        <w:rPr>
          <w:b w:val="1"/>
          <w:bCs w:val="1"/>
        </w:rPr>
        <w:t xml:space="preserve">DÍA 05 (DOMINGO) EL CAIRO.</w:t>
      </w:r>
      <w:br/>
      <w:r>
        <w:rPr/>
        <w:t xml:space="preserve">Alojamiento y desayuno.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b w:val="1"/>
          <w:bCs w:val="1"/>
        </w:rPr>
        <w:t xml:space="preserve">DÍA 06 (LUNES) EL CAIRO – LUXOR.</w:t>
      </w:r>
      <w:br/>
      <w:r>
        <w:rPr/>
        <w:t xml:space="preserve">Desayuno. A la hora indicada traslado al aeropuerto para tomar vuelo con destino a Luxor (boleto aéreo NO incluido). Llegada y traslado al barco. Distribución de los camarotes y almuerzo. Visita del templo de Karnak o los templos del Karnak que se considera el templo más grande de Egipto con su avenida de carneros y su sala de 132 columnas. El templo de Luxor construido por Amenofis III y Ramsés II con su famosa avenida de esfinges. Tarde libre. Cena y noche a bordo.</w:t>
      </w:r>
    </w:p>
    <w:p>
      <w:pPr/>
      <w:r>
        <w:rPr>
          <w:b w:val="1"/>
          <w:bCs w:val="1"/>
        </w:rPr>
        <w:t xml:space="preserve">DÍA 07 (MARTES) LUXOR – EDFU.</w:t>
      </w:r>
      <w:br/>
      <w:r>
        <w:rPr/>
        <w:t xml:space="preserve">Pensión completa a bordo. Visita del Valle de los Reyes, donde se encuentran las tumbas de los reyes del imperio nuevo, cuando Tebas era la capital de Egipto, Templo de Hatshepsut, Colosos de Memon. Navegación hacia Esna, paso de la esclusa, y continuación a Edfu. Noche a bordo.</w:t>
      </w:r>
    </w:p>
    <w:p>
      <w:pPr/>
      <w:r>
        <w:rPr>
          <w:b w:val="1"/>
          <w:bCs w:val="1"/>
        </w:rPr>
        <w:t xml:space="preserve">DÍA 08 (MIÉRCOLES) EDFU – KOM OMBO.  </w:t>
      </w:r>
      <w:r>
        <w:rPr/>
        <w:t xml:space="preserve">  </w:t>
      </w:r>
      <w:br/>
      <w:r>
        <w:rPr/>
        <w:t xml:space="preserve">Pensión completa a bordo.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Noche a bordo.</w:t>
      </w:r>
    </w:p>
    <w:p>
      <w:pPr/>
      <w:r>
        <w:rPr>
          <w:b w:val="1"/>
          <w:bCs w:val="1"/>
        </w:rPr>
        <w:t xml:space="preserve">DÍA 09 (JUEVES) ASWAN.</w:t>
      </w:r>
      <w:br/>
      <w:r>
        <w:rPr/>
        <w:t xml:space="preserve">Pensión completa a bordo. Visita de la Alta Presa, considerada la presa más grande del mundo. Templo de Philae o templo de la diosa Isis, construido en la época griega y trasladado a la isla Egelikia para salvarlo de las aguas del Nilo, después de la construcción de la presa. Por la tarde daremos un paseo en faluca alrededor de las islas de Aswan. Noche a bordo.</w:t>
      </w:r>
    </w:p>
    <w:p>
      <w:pPr/>
      <w:r>
        <w:rPr>
          <w:b w:val="1"/>
          <w:bCs w:val="1"/>
        </w:rPr>
        <w:t xml:space="preserve">DÍA 10 (VIERNES) ASWAN – EL CAIRO.</w:t>
      </w:r>
      <w:br/>
      <w:r>
        <w:rPr/>
        <w:t xml:space="preserve">Desayuno. Desembarque. Mañana libre con posibilidad de realizar la excursión opcional a Abu Simbel. Por la tarde traslado al aeropuerto para salir hacia El Cairo (boleto aéreo NO incluido). Llegada y traslado al hotel. Alojamiento.</w:t>
      </w:r>
    </w:p>
    <w:p>
      <w:pPr/>
      <w:r>
        <w:rPr>
          <w:b w:val="1"/>
          <w:bCs w:val="1"/>
        </w:rPr>
        <w:t xml:space="preserve">DÍA 11 (SÁBADO) EL CAIRO.</w:t>
      </w:r>
      <w:br/>
      <w:r>
        <w:rPr/>
        <w:t xml:space="preserve">Desayuno. Traslado al aeropuerto para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(02 Abril 2025 al 17 Septiembre 2025)</w:t>
            </w:r>
          </w:p>
        </w:tc>
        <w:tc>
          <w:tcPr>
            <w:tcW w:w="7800" w:type="dxa"/>
            <w:noWrap/>
          </w:tcPr>
          <w:p>
            <w:pPr>
              <w:jc w:val="start"/>
              <w:spacing w:before="0" w:after="0"/>
            </w:pPr>
            <w:r>
              <w:rPr/>
              <w:t xml:space="preserve">USD 912</w:t>
            </w:r>
          </w:p>
        </w:tc>
        <w:tc>
          <w:tcPr>
            <w:tcW w:w="7800" w:type="dxa"/>
            <w:noWrap/>
          </w:tcPr>
          <w:p>
            <w:pPr>
              <w:jc w:val="start"/>
              <w:spacing w:before="0" w:after="0"/>
            </w:pPr>
            <w:r>
              <w:rPr/>
              <w:t xml:space="preserve">USD 912</w:t>
            </w:r>
          </w:p>
        </w:tc>
        <w:tc>
          <w:tcPr>
            <w:tcW w:w="7800" w:type="dxa"/>
            <w:noWrap/>
          </w:tcPr>
          <w:p>
            <w:pPr>
              <w:jc w:val="start"/>
              <w:spacing w:before="0" w:after="0"/>
            </w:pPr>
            <w:r>
              <w:rPr/>
              <w:t xml:space="preserve">USD 1.330</w:t>
            </w:r>
          </w:p>
        </w:tc>
      </w:tr>
      <w:tr>
        <w:trPr/>
        <w:tc>
          <w:tcPr>
            <w:tcW w:w="7800" w:type="dxa"/>
            <w:noWrap/>
          </w:tcPr>
          <w:p>
            <w:pPr>
              <w:jc w:val="start"/>
              <w:spacing w:before="0" w:after="0"/>
            </w:pPr>
            <w:r>
              <w:rPr/>
              <w:t xml:space="preserve">Platino (01 Octubre 2025 – 18 Marzo 2026)</w:t>
            </w:r>
          </w:p>
        </w:tc>
        <w:tc>
          <w:tcPr>
            <w:tcW w:w="7800" w:type="dxa"/>
            <w:noWrap/>
          </w:tcPr>
          <w:p>
            <w:pPr>
              <w:jc w:val="start"/>
              <w:spacing w:before="0" w:after="0"/>
            </w:pPr>
            <w:r>
              <w:rPr/>
              <w:t xml:space="preserve">USD 1.032</w:t>
            </w:r>
          </w:p>
        </w:tc>
        <w:tc>
          <w:tcPr>
            <w:tcW w:w="7800" w:type="dxa"/>
            <w:noWrap/>
          </w:tcPr>
          <w:p>
            <w:pPr>
              <w:jc w:val="start"/>
              <w:spacing w:before="0" w:after="0"/>
            </w:pPr>
            <w:r>
              <w:rPr/>
              <w:t xml:space="preserve">USD 1.032</w:t>
            </w:r>
          </w:p>
        </w:tc>
        <w:tc>
          <w:tcPr>
            <w:tcW w:w="7800" w:type="dxa"/>
            <w:noWrap/>
          </w:tcPr>
          <w:p>
            <w:pPr>
              <w:jc w:val="start"/>
              <w:spacing w:before="0" w:after="0"/>
            </w:pPr>
            <w:r>
              <w:rPr/>
              <w:t xml:space="preserve">USD 1.523</w:t>
            </w:r>
          </w:p>
        </w:tc>
      </w:tr>
      <w:tr>
        <w:trPr/>
        <w:tc>
          <w:tcPr>
            <w:tcW w:w="7800" w:type="dxa"/>
            <w:noWrap/>
          </w:tcPr>
          <w:p>
            <w:pPr>
              <w:jc w:val="start"/>
              <w:spacing w:before="0" w:after="0"/>
            </w:pPr>
            <w:r>
              <w:rPr>
                <w:b w:val="1"/>
                <w:bCs w:val="1"/>
              </w:rPr>
              <w:t xml:space="preserve">Suplementos categoría Platino por persona: </w:t>
            </w:r>
            <w:r>
              <w:rPr/>
              <w:t xml:space="preserve">Semana Santa (Abril: 09, 16 2025) Navidad/Fin Año (Diciembre: 17, 24, 31 2025)</w:t>
            </w:r>
          </w:p>
        </w:tc>
        <w:tc>
          <w:tcPr>
            <w:tcW w:w="7800" w:type="dxa"/>
            <w:gridSpan w:val="3"/>
            <w:noWrap/>
          </w:tcPr>
          <w:p>
            <w:pPr>
              <w:jc w:val="start"/>
              <w:spacing w:before="0" w:after="0"/>
            </w:pPr>
            <w:r>
              <w:rPr/>
              <w:t xml:space="preserve">USD 270</w:t>
            </w:r>
          </w:p>
        </w:tc>
      </w:tr>
      <w:tr>
        <w:trPr/>
        <w:tc>
          <w:tcPr>
            <w:tcW w:w="7800" w:type="dxa"/>
            <w:noWrap/>
          </w:tcPr>
          <w:p>
            <w:pPr>
              <w:jc w:val="start"/>
              <w:spacing w:before="0" w:after="0"/>
            </w:pPr>
            <w:r>
              <w:rPr/>
              <w:t xml:space="preserve">Oro (02 Abril 2025 al 17 Septiembre 2025)</w:t>
            </w:r>
          </w:p>
        </w:tc>
        <w:tc>
          <w:tcPr>
            <w:tcW w:w="7800" w:type="dxa"/>
            <w:noWrap/>
          </w:tcPr>
          <w:p>
            <w:pPr>
              <w:jc w:val="start"/>
              <w:spacing w:before="0" w:after="0"/>
            </w:pPr>
            <w:r>
              <w:rPr/>
              <w:t xml:space="preserve">USD 1.051</w:t>
            </w:r>
          </w:p>
        </w:tc>
        <w:tc>
          <w:tcPr>
            <w:tcW w:w="7800" w:type="dxa"/>
            <w:noWrap/>
          </w:tcPr>
          <w:p>
            <w:pPr>
              <w:jc w:val="start"/>
              <w:spacing w:before="0" w:after="0"/>
            </w:pPr>
            <w:r>
              <w:rPr/>
              <w:t xml:space="preserve">USD 1.051</w:t>
            </w:r>
          </w:p>
        </w:tc>
        <w:tc>
          <w:tcPr>
            <w:tcW w:w="7800" w:type="dxa"/>
            <w:noWrap/>
          </w:tcPr>
          <w:p>
            <w:pPr>
              <w:jc w:val="start"/>
              <w:spacing w:before="0" w:after="0"/>
            </w:pPr>
            <w:r>
              <w:rPr/>
              <w:t xml:space="preserve">USD 1.707</w:t>
            </w:r>
          </w:p>
        </w:tc>
      </w:tr>
      <w:tr>
        <w:trPr/>
        <w:tc>
          <w:tcPr>
            <w:tcW w:w="7800" w:type="dxa"/>
            <w:noWrap/>
          </w:tcPr>
          <w:p>
            <w:pPr>
              <w:jc w:val="start"/>
              <w:spacing w:before="0" w:after="0"/>
            </w:pPr>
            <w:r>
              <w:rPr/>
              <w:t xml:space="preserve">(01 Octubre 2025 – 18 Marzo 2026)</w:t>
            </w:r>
          </w:p>
        </w:tc>
        <w:tc>
          <w:tcPr>
            <w:tcW w:w="7800" w:type="dxa"/>
            <w:noWrap/>
          </w:tcPr>
          <w:p>
            <w:pPr>
              <w:jc w:val="start"/>
              <w:spacing w:before="0" w:after="0"/>
            </w:pPr>
            <w:r>
              <w:rPr/>
              <w:t xml:space="preserve">USD 1.166</w:t>
            </w:r>
          </w:p>
        </w:tc>
        <w:tc>
          <w:tcPr>
            <w:tcW w:w="7800" w:type="dxa"/>
            <w:noWrap/>
          </w:tcPr>
          <w:p>
            <w:pPr>
              <w:jc w:val="start"/>
              <w:spacing w:before="0" w:after="0"/>
            </w:pPr>
            <w:r>
              <w:rPr/>
              <w:t xml:space="preserve">USD 1.166</w:t>
            </w:r>
          </w:p>
        </w:tc>
        <w:tc>
          <w:tcPr>
            <w:tcW w:w="7800" w:type="dxa"/>
            <w:noWrap/>
          </w:tcPr>
          <w:p>
            <w:pPr>
              <w:jc w:val="start"/>
              <w:spacing w:before="0" w:after="0"/>
            </w:pPr>
            <w:r>
              <w:rPr/>
              <w:t xml:space="preserve">USD 1.900</w:t>
            </w:r>
          </w:p>
        </w:tc>
      </w:tr>
      <w:tr>
        <w:trPr/>
        <w:tc>
          <w:tcPr>
            <w:tcW w:w="7800" w:type="dxa"/>
            <w:noWrap/>
          </w:tcPr>
          <w:p>
            <w:pPr>
              <w:jc w:val="start"/>
              <w:spacing w:before="0" w:after="0"/>
            </w:pPr>
            <w:r>
              <w:rPr>
                <w:b w:val="1"/>
                <w:bCs w:val="1"/>
              </w:rPr>
              <w:t xml:space="preserve">Suplementos categoría Oro por persona: </w:t>
            </w:r>
            <w:r>
              <w:rPr/>
              <w:t xml:space="preserve">SEMANA SANTA (ABRIL: 09, 16 2025) NAVIDAD/FIN AÑO (Diciembre: 17, 24, 31 2025)</w:t>
            </w:r>
          </w:p>
        </w:tc>
        <w:tc>
          <w:tcPr>
            <w:tcW w:w="7800" w:type="dxa"/>
            <w:gridSpan w:val="3"/>
            <w:noWrap/>
          </w:tcPr>
          <w:p>
            <w:pPr>
              <w:jc w:val="start"/>
              <w:spacing w:before="0" w:after="0"/>
            </w:pPr>
            <w:r>
              <w:rPr/>
              <w:t xml:space="preserve">USD 330</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Pymirads Park / Oasis Pyramids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Sonesta Cairo / Concord el Salam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Crucero del Nilo</w:t>
            </w:r>
          </w:p>
        </w:tc>
        <w:tc>
          <w:tcPr>
            <w:tcW w:w="7800" w:type="dxa"/>
            <w:noWrap/>
          </w:tcPr>
          <w:p>
            <w:pPr>
              <w:jc w:val="start"/>
              <w:spacing w:before="0" w:after="0"/>
            </w:pPr>
            <w:r>
              <w:rPr/>
              <w:t xml:space="preserve">M/S Solaris II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Nile Palace Zeina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03 noches de alojamiento en Estambul en categoría seleccionada.</w:t>
      </w:r>
    </w:p>
    <w:p>
      <w:pPr>
        <w:numPr>
          <w:ilvl w:val="1"/>
          <w:numId w:val="2"/>
        </w:numPr>
      </w:pPr>
      <w:r>
        <w:rPr/>
        <w:t xml:space="preserve">03 desayunos.</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03 noches de Alojamiento en El Cairo con desayuno.</w:t>
      </w:r>
    </w:p>
    <w:p>
      <w:pPr>
        <w:numPr>
          <w:ilvl w:val="1"/>
          <w:numId w:val="2"/>
        </w:numPr>
      </w:pPr>
      <w:r>
        <w:rPr/>
        <w:t xml:space="preserve">04 noches de Crucero por el Río Nilo con Pensión completa tipo buffet. (No incluye bebidas).</w:t>
      </w:r>
    </w:p>
    <w:p>
      <w:pPr>
        <w:numPr>
          <w:ilvl w:val="1"/>
          <w:numId w:val="2"/>
        </w:numPr>
      </w:pPr>
      <w:r>
        <w:rPr/>
        <w:t xml:space="preserve">Las Visitas mencionadas en itinerario con entradas y guía de habla hispana en Egipto.</w:t>
      </w:r>
    </w:p>
    <w:p>
      <w:pPr>
        <w:numPr>
          <w:ilvl w:val="1"/>
          <w:numId w:val="2"/>
        </w:numPr>
      </w:pPr>
      <w:r>
        <w:rPr/>
        <w:t xml:space="preserve">Todos los traslados en buses/coches con aire acondicionado en Egipto.</w:t>
      </w:r>
    </w:p>
    <w:p>
      <w:pPr>
        <w:numPr>
          <w:ilvl w:val="1"/>
          <w:numId w:val="2"/>
        </w:numPr>
      </w:pPr>
      <w:r>
        <w:rPr/>
        <w:t xml:space="preserve">Seguro turístico (NO es una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 para el guía en Estambul se entrega según criterio del grupo, se sugiere USD 20 por pasajero.</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Extras y gastos personales.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Tiquetes aéreos domésticos: El Cairo – Luxor / Aswan – El Cairo (USD 385 valor por persona, sujeto a disponibilidad y cambio sin previo aviso).</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Bebidas en las comidas incluidas.</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2AA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B0F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2025-05-01T05:35:40+00:00</dcterms:created>
  <dcterms:modified xsi:type="dcterms:W3CDTF">2025-05-01T05:35:40+00:00</dcterms:modified>
</cp:coreProperties>
</file>

<file path=docProps/custom.xml><?xml version="1.0" encoding="utf-8"?>
<Properties xmlns="http://schemas.openxmlformats.org/officeDocument/2006/custom-properties" xmlns:vt="http://schemas.openxmlformats.org/officeDocument/2006/docPropsVTypes"/>
</file>