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EGIPTO Y DUBÁI II                    </w:t>
      </w:r>
    </w:p>
    <w:p>
      <w:pPr/>
      <w:r>
        <w:rPr>
          <w:rFonts w:ascii="Arial" w:hAnsi="Arial" w:eastAsia="Arial" w:cs="Arial"/>
          <w:color w:val="light"/>
          <w:sz w:val="22"/>
          <w:szCs w:val="22"/>
          <w:b w:val="0"/>
          <w:bCs w:val="0"/>
        </w:rPr>
        <w:t xml:space="preserve">MTC - 28528</w:t>
      </w:r>
    </w:p>
    <w:p>
      <w:pPr/>
      <w:r>
        <w:rPr>
          <w:rFonts w:ascii="Arial" w:hAnsi="Arial" w:eastAsia="Arial" w:cs="Arial"/>
          <w:color w:val="light"/>
          <w:sz w:val="22"/>
          <w:szCs w:val="22"/>
          <w:b w:val="0"/>
          <w:bCs w:val="0"/>
        </w:rPr>
        <w:t xml:space="preserve">19 Días y 18 Noches</w:t>
      </w:r>
    </w:p>
    <w:p/>
    <w:p/>
    <w:p>
      <w:pPr>
        <w:jc w:val="center"/>
        <w:spacing w:before="450"/>
      </w:pPr>
      <w:r>
        <w:rPr>
          <w:sz w:val="40.5"/>
          <w:szCs w:val="40.5"/>
        </w:rPr>
        <w:t xml:space="preserve">Desde $1974</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r>
        <w:rPr/>
        <w:t xml:space="preserve">Egipto, </w:t>
      </w: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Estambul, </w:t>
      </w:r>
      <w:r>
        <w:rPr/>
        <w:t xml:space="preserve">Capadocia, </w:t>
      </w:r>
      <w:r>
        <w:rPr/>
        <w:t xml:space="preserve">Pamukkale, </w:t>
      </w:r>
      <w:r>
        <w:rPr/>
        <w:t xml:space="preserve">Estambul, </w:t>
      </w:r>
      <w:r>
        <w:rPr/>
        <w:t xml:space="preserve">El Cairo, </w:t>
      </w:r>
      <w:r>
        <w:rPr/>
        <w:t xml:space="preserve">Luxor, </w:t>
      </w:r>
      <w:r>
        <w:rPr/>
        <w:t xml:space="preserve">Edfu, </w:t>
      </w:r>
      <w:r>
        <w:rPr/>
        <w:t xml:space="preserve">Aswan, </w:t>
      </w:r>
      <w:r>
        <w:rPr/>
        <w:t xml:space="preserve">El Cairo, </w:t>
      </w: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(SÁBADO) ESTAMBUL.</w:t>
      </w:r>
      <w:br/>
      <w:r>
        <w:rPr/>
        <w:t xml:space="preserve">Bienvenido a Türkiye, un país lleno de cultura, historia y experiencias únicas, donde las diferencias de Oriente y Occidente se combinan entre sí. Prepárate para disfrutar de unas vacaciones extraordinarias. Llegada en vuelo internacional al espectacular Aeropuerto de Estambul (IST).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acomodación. Tiempo libre para descansar.</w:t>
      </w:r>
    </w:p>
    <w:p>
      <w:pPr/>
      <w:r>
        <w:rPr>
          <w:b w:val="1"/>
          <w:bCs w:val="1"/>
        </w:rPr>
        <w:t xml:space="preserve">Nota:</w:t>
      </w:r>
      <w:r>
        <w:rPr/>
        <w:t xml:space="preserve"> En caso de no encontrar a nuestros representantes en el punto de encuentro, deberán entrar en contacto con nuestro número de emergencias.</w:t>
      </w:r>
    </w:p>
    <w:p>
      <w:pPr/>
      <w:br/>
      <w:r>
        <w:rPr>
          <w:b w:val="1"/>
          <w:bCs w:val="1"/>
        </w:rPr>
        <w:t xml:space="preserve">DÍA 02 (DOMINGO) ESTAMBUL</w:t>
      </w:r>
      <w:br/>
      <w:r>
        <w:rPr/>
        <w:t xml:space="preserve">Desayuno. Día libre. 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w:t>
      </w:r>
    </w:p>
    <w:p>
      <w:pPr/>
      <w:r>
        <w:rPr>
          <w:b w:val="1"/>
          <w:bCs w:val="1"/>
        </w:rPr>
        <w:t xml:space="preserve">Nota: </w:t>
      </w:r>
      <w:r>
        <w:rPr/>
        <w:t xml:space="preserve">Para el ingreso a la Santa Sofía consultar suplemento.</w:t>
      </w:r>
    </w:p>
    <w:p>
      <w:pPr/>
      <w:r>
        <w:rPr/>
        <w:t xml:space="preserve">Nota: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 (LUNES) ESTAMBUL – CAPADOCIA.</w:t>
      </w:r>
      <w:br/>
      <w:r>
        <w:rPr/>
        <w:t xml:space="preserve">Desayuno. Día libre. Posibilidad de tomar la excursión opcional:</w:t>
      </w:r>
      <w:r>
        <w:rPr>
          <w:b w:val="1"/>
          <w:bCs w:val="1"/>
        </w:rPr>
        <w:t xml:space="preserve"> “PERLAS DEL CUERNO DE ORO Y BÓSFORO”</w:t>
      </w:r>
      <w:r>
        <w:rPr/>
        <w:t xml:space="preserve">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aeropuerto y traslado al aeropuerto. Alojamiento.</w:t>
      </w:r>
    </w:p>
    <w:p>
      <w:pPr/>
      <w:r>
        <w:rPr/>
        <w:t xml:space="preserve">Nota: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(MARTES) CAPADOCIA.</w:t>
      </w:r>
      <w:br/>
      <w:r>
        <w:rPr/>
        <w:t xml:space="preserve">Desayuno. Salida aprox. a las 08:00h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y alojamiento.</w:t>
      </w:r>
    </w:p>
    <w:p>
      <w:pPr/>
      <w:r>
        <w:rPr/>
        <w:t xml:space="preserve">Programas opcionales en Capadocia: “NOCHE TURCA” Presentación de bailes folclóricos en una cueva típica con bebidas locales;</w:t>
      </w:r>
      <w:r>
        <w:rPr>
          <w:b w:val="1"/>
          <w:bCs w:val="1"/>
        </w:rPr>
        <w:t xml:space="preserve"> “JEEP SAFARI”</w:t>
      </w:r>
      <w:r>
        <w:rPr/>
        <w:t xml:space="preserve"> aventura por los valles místicos de la región con paradas para tomar las mejores fotos;</w:t>
      </w:r>
      <w:r>
        <w:rPr>
          <w:b w:val="1"/>
          <w:bCs w:val="1"/>
        </w:rPr>
        <w:t xml:space="preserve"> “PASEO EN GLOBO” </w:t>
      </w:r>
      <w:r>
        <w:rPr/>
        <w:t xml:space="preserve">temprano por la mañana para admirar uno de los más bellos paisajes de la tierra.</w:t>
      </w:r>
    </w:p>
    <w:p>
      <w:pPr/>
      <w:r>
        <w:rPr>
          <w:b w:val="1"/>
          <w:bCs w:val="1"/>
        </w:rPr>
        <w:t xml:space="preserve">DÍA 05 (MIÉRCOLES) CAPADOCIA – PAMUKKALE.</w:t>
      </w:r>
      <w:br/>
      <w:r>
        <w:rPr/>
        <w:t xml:space="preserve">Desayuno.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Alojamiento.</w:t>
      </w:r>
    </w:p>
    <w:p>
      <w:pPr/>
      <w:r>
        <w:rPr>
          <w:b w:val="1"/>
          <w:bCs w:val="1"/>
        </w:rPr>
        <w:t xml:space="preserve">DÍA 06 (JUEVES) PAMUKKALE – SELCUK – IZMIR/KUSADASI – ESTAMBUL.</w:t>
      </w:r>
      <w:br/>
      <w:r>
        <w:rPr/>
        <w:t xml:space="preserve">Desayuno. Salida aprox. a las 08:00h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(entradas no incluidas). Continuaremos la visita en un showroom especializado en piezas de cuero, donde se podrá apreciar productos con alta calidad, hechos con piel de carnero y famosos por sus piezas ligeras. Traslado al aeropuerto para tomar vuelo de regreso a Estambul (Vuelo NO incluido - consultar suplementos obligatorios; los traslados están incluidos para realizar un solo traslado con el grupo). Alojamiento.</w:t>
      </w:r>
    </w:p>
    <w:p>
      <w:pPr/>
      <w:r>
        <w:rPr>
          <w:b w:val="1"/>
          <w:bCs w:val="1"/>
        </w:rPr>
        <w:t xml:space="preserve">Nota:</w:t>
      </w:r>
      <w:r>
        <w:rPr/>
        <w:t xml:space="preserve"> El hospedaje podrá ser en Izmir o Kuşadasi dependiendo de la temporada.</w:t>
      </w:r>
    </w:p>
    <w:p>
      <w:pPr/>
      <w:r>
        <w:rPr>
          <w:b w:val="1"/>
          <w:bCs w:val="1"/>
        </w:rPr>
        <w:t xml:space="preserve">DÍA 07 (VIERNES) ESTAMBUL.</w:t>
      </w:r>
      <w:br/>
      <w:r>
        <w:rPr/>
        <w:t xml:space="preserve">Desayuno. Día libre para actividades personales o excursiones opcionales. Alojamiento.</w:t>
      </w:r>
    </w:p>
    <w:p>
      <w:pPr/>
      <w:r>
        <w:rPr>
          <w:b w:val="1"/>
          <w:bCs w:val="1"/>
        </w:rPr>
        <w:t xml:space="preserve">DÍA 08 (SÁBADO) ESTAMBUL – EL CAIRO.</w:t>
      </w:r>
      <w:br/>
      <w:r>
        <w:rPr/>
        <w:t xml:space="preserve">Desayuno. Traslado al Aeropuerto (IST) y vuelo con destino a El Cairo (Vuelo NO incluido).</w:t>
      </w:r>
    </w:p>
    <w:p>
      <w:pPr/>
      <w:r>
        <w:rPr/>
        <w:t xml:space="preserve">Llegada al aeropuerto de El Cairo. Asistencia y traslado al hotel. Alojamiento.</w:t>
      </w:r>
    </w:p>
    <w:p>
      <w:pPr/>
      <w:r>
        <w:rPr>
          <w:b w:val="1"/>
          <w:bCs w:val="1"/>
        </w:rPr>
        <w:t xml:space="preserve">DÍA 09 (DOMINGO) EL CAIRO.</w:t>
      </w:r>
      <w:br/>
      <w:r>
        <w:rPr/>
        <w:t xml:space="preserve">Alojamiento y desayuno. Visita de las Pirámides de Giza donde se contempla la primera maravilla de las siete maravillas del mundo antiguo, la gran pirámide de Keops y las pirámides de Kefrén, Micerinos y la Esfinge esculpida en la roca, que representa la cabeza del faraón y el cuerpo de un león (no incluye entrada al interior de las Pirámides).</w:t>
      </w:r>
    </w:p>
    <w:p>
      <w:pPr/>
      <w:r>
        <w:rPr>
          <w:b w:val="1"/>
          <w:bCs w:val="1"/>
        </w:rPr>
        <w:t xml:space="preserve">DÍA 10 (LUNES) EL CAIRO - LUXOR.</w:t>
      </w:r>
      <w:br/>
      <w:r>
        <w:rPr/>
        <w:t xml:space="preserve">Desayuno. A la hora indicada traslado al aeropuerto para tomar vuelo con destino a Luxor (boleto aéreo NO incluido). Llegada y traslado al barco. Distribución de los camarotes y almuerzo. Visita del templo de Karnak o los templos del Karnak que se considera el templo más grande de Egipto con su avenida de carneros y su sala de 132 columnas. El templo de Luxor construido por Amenofis III y Ramsés II con su famosa avenida de esfinges. Cena y noche a bordo.</w:t>
      </w:r>
    </w:p>
    <w:p>
      <w:pPr/>
      <w:r>
        <w:rPr>
          <w:b w:val="1"/>
          <w:bCs w:val="1"/>
        </w:rPr>
        <w:t xml:space="preserve">DIA 11 (MARTES) LUXOR - EDFU.</w:t>
      </w:r>
      <w:br/>
      <w:r>
        <w:rPr/>
        <w:t xml:space="preserve">Pensión completa a bordo. Mañana libre con posibilidad de realizar una visita opcional al Valle de los Reyes, donde se encuentra las tumbas de los reyes del imperio nuevo cuando era Tebas capital de Egipto, el templo de Hatshepsut, y los Colosos de Memnon. Navegación hacia Esna, paso de la esclusa. Navegación hacia Edfu.</w:t>
      </w:r>
    </w:p>
    <w:p>
      <w:pPr/>
      <w:r>
        <w:rPr>
          <w:b w:val="1"/>
          <w:bCs w:val="1"/>
        </w:rPr>
        <w:t xml:space="preserve">DIA 12 (MIÉRCOLES) EDFU - KOM OMBO.</w:t>
      </w:r>
      <w:br/>
      <w:r>
        <w:rPr/>
        <w:t xml:space="preserve">Pensión completa a bordo. Visita del Templo de Horus, hijo de Isis y Osiris, el templo mejor conservado con el santuario de Naos del dios y la barca ceremonial. Navegación hacia Kom Ombo. Visita de los templos de Sobek, el dios de cabeza de cocodrilo, simbolizando a la fertilidad del Nilo y Haroeris o el dios Halcón el mayor. Navegación.</w:t>
      </w:r>
    </w:p>
    <w:p>
      <w:pPr/>
      <w:r>
        <w:rPr>
          <w:b w:val="1"/>
          <w:bCs w:val="1"/>
        </w:rPr>
        <w:t xml:space="preserve">DIA 13 (JUEVES) ASWAN. </w:t>
      </w:r>
      <w:br/>
      <w:r>
        <w:rPr/>
        <w:t xml:space="preserve">Pensión completa a bordo. Tarde libre para realizar una visita opcional a la Alta Presa, el Templo de Philae o el templo de la diosa Isis construido en la época griega. Daremos un paseo en faluca (incluido) alrededor de las islas de Aswan.</w:t>
      </w:r>
    </w:p>
    <w:p>
      <w:pPr/>
      <w:r>
        <w:rPr>
          <w:b w:val="1"/>
          <w:bCs w:val="1"/>
        </w:rPr>
        <w:t xml:space="preserve">DÍA 14 (VIERNES) ASWAN - EL CAIRO.</w:t>
      </w:r>
      <w:br/>
      <w:r>
        <w:rPr/>
        <w:t xml:space="preserve">Desayuno. Desembarque. Mañana libre con posibilidad de realizar la excursión opcional a Abu Simbel. A la hora prevista traslado al aeropuerto para salir hacia El Cairo. (boleto aéreo NO incluido) Llegada y traslado al hotel. Alojamiento.</w:t>
      </w:r>
    </w:p>
    <w:p>
      <w:pPr/>
      <w:r>
        <w:rPr>
          <w:b w:val="1"/>
          <w:bCs w:val="1"/>
        </w:rPr>
        <w:t xml:space="preserve">DIA 15 (SÁBADO) EL CAIRO – DUBÁI.</w:t>
      </w:r>
      <w:br/>
      <w:r>
        <w:rPr/>
        <w:t xml:space="preserve">Desayuno. Traslado al aeropuerto para tomar el vuelo con destino Dubái (boleto aéreo NO incluido). Llegada a Dubái y traslado al hotel. Alojamiento.</w:t>
      </w:r>
    </w:p>
    <w:p>
      <w:pPr/>
      <w:r>
        <w:rPr>
          <w:b w:val="1"/>
          <w:bCs w:val="1"/>
        </w:rPr>
        <w:t xml:space="preserve">DÍA 16 (DOMINGO) DUBÁI.</w:t>
      </w:r>
      <w:br/>
      <w:r>
        <w:rPr/>
        <w:t xml:space="preserve">Desayuno. Visita de la ciudad, tour de medio día. Salida hacia la zona de Deira, donde se visitará el Museo de Dubai. Luego se pasará por el mercado de las especies y el mercado del oro, atravesando el canal con las famosas “Abras”, las barcas típicas de los primeros pescadores de los Emiratos. Seguiremos al barrio Jumeirah, donde encontraremos las mansiones típicas de los Emiratíes. Parada para fotos de la Mezquita de Jumeirah y en el Burj Al Arab, el único hotel 7 estrellas en el mundo. Regreso al hotel por la avenida principal Sheik Zayed Road donde veremos el Burj Khalifa, el edificio más alto del mundo. Tarde libre. Alojamiento.</w:t>
      </w:r>
    </w:p>
    <w:p>
      <w:pPr/>
      <w:r>
        <w:rPr>
          <w:b w:val="1"/>
          <w:bCs w:val="1"/>
        </w:rPr>
        <w:t xml:space="preserve">DÍA 17 (LUNES) DUBÁI.</w:t>
      </w:r>
      <w:br/>
      <w:r>
        <w:rPr/>
        <w:t xml:space="preserve">Desayuno. Día libre. Por la mañana podrá realizar una visita opcional de Sharjah, vuelo en helicóptero, paseo en lancha en la marina y muchas opciones más que se puede hacer. Por la tarde también en opcional podrá tomar la excursión más popular, los Land Cruisers, para un excitante trayecto por las fantásticas dunas del desierto Emiratí. Podrán hacer fotos únicas de la puesta del sol árabe, y una cena en pleno desierto con los relajantes sonidos de la música árabe, le harán disfrutar de una autentica e inolvidable noche beduina. Alojamiento.</w:t>
      </w:r>
    </w:p>
    <w:p>
      <w:pPr/>
      <w:r>
        <w:rPr>
          <w:b w:val="1"/>
          <w:bCs w:val="1"/>
        </w:rPr>
        <w:t xml:space="preserve">DÍA 18 (MARTES) DUBÁI. </w:t>
      </w:r>
      <w:br/>
      <w:r>
        <w:rPr/>
        <w:t xml:space="preserve">Desayuno. Posibilidad de realizar una visita opcional a Abu Dhabi. Recorrido de 2 horas desde Dubai, pasando por el puerto Jebel Ali el puerto más grande del mundo realizado por el hombre, hasta la capital de UAE. Alojamiento.</w:t>
      </w:r>
    </w:p>
    <w:p>
      <w:pPr/>
      <w:r>
        <w:rPr>
          <w:b w:val="1"/>
          <w:bCs w:val="1"/>
        </w:rPr>
        <w:t xml:space="preserve">DÍA 19 (MIÉRCOLES) DUBÁI – REGRESO.</w:t>
      </w:r>
      <w:br/>
      <w:r>
        <w:rPr/>
        <w:t xml:space="preserve">Desayuno. Traslado al aeropuerto. Fin de los servicios</w:t>
      </w:r>
    </w:p>
    <w:p>
      <w:pPr/>
      <w:r>
        <w:rPr>
          <w:b w:val="1"/>
          <w:bCs w:val="1"/>
        </w:rPr>
        <w:t xml:space="preserve">NOTAS IMPORTANTES TURQUÍA: </w:t>
      </w:r>
      <w:br/>
      <w:r>
        <w:rPr/>
        <w:t xml:space="preserve">• El hospedaje se podrá dar en Izmir o Kusadasi, de acuerdo con la temporada. El orden del itinerario puede ser cambiado sin previo aviso por disponibilidad de guías y días de cierre de los monumentos, siempre respetando las visitas a realizarse. </w:t>
      </w:r>
      <w:br/>
      <w:r>
        <w:rPr/>
        <w:t xml:space="preserve">• Puede cambiarse también el orden de las excursiones opcionales entre los días 2y 3. </w:t>
      </w:r>
      <w:br/>
      <w:r>
        <w:rPr/>
        <w:t xml:space="preserve">• Días de cierre de las visitas: Domingo (El Gran Bazar). Son ofrecidas visitas similares o se cambia el orden de día en caso de cierre. </w:t>
      </w:r>
      <w:br/>
      <w:r>
        <w:rPr/>
        <w:t xml:space="preserve">• Las noches en Estambul son operadas de dos maneras: 3 al principio y 1 al final (de acuerdo con lo publicado) // o // 2 al principio y 2 al final. </w:t>
      </w:r>
      <w:br/>
      <w:r>
        <w:rPr/>
        <w:t xml:space="preserve">• En caso de que el gran bazar este cerrado se visitará al Bazar de las especies.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ESTAMBUL</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31</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09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gridSpan w:val="7"/>
            <w:noWrap/>
          </w:tcPr>
          <w:p>
            <w:pPr>
              <w:jc w:val="start"/>
              <w:spacing w:before="0" w:after="0"/>
            </w:pPr>
            <w:r>
              <w:rPr/>
              <w:t xml:space="preserve">*Fechas que podrán tener el itinerario cambiado debido a los festivos locales.</w:t>
            </w: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5"/>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DOBLE</w:t>
            </w:r>
          </w:p>
        </w:tc>
        <w:tc>
          <w:tcPr>
            <w:tcW w:w="7800" w:type="dxa"/>
            <w:gridSpan w:val="2"/>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SENCILLA</w:t>
            </w:r>
          </w:p>
        </w:tc>
      </w:tr>
      <w:tr>
        <w:trPr/>
        <w:tc>
          <w:tcPr>
            <w:tcW w:w="7800" w:type="dxa"/>
            <w:noWrap/>
          </w:tcPr>
          <w:p>
            <w:pPr>
              <w:jc w:val="start"/>
              <w:spacing w:before="0" w:after="0"/>
            </w:pPr>
            <w:r>
              <w:rPr/>
              <w:t xml:space="preserve">Platino (04 Abril 2025 al 15 Septiembre 2025)</w:t>
            </w:r>
          </w:p>
        </w:tc>
        <w:tc>
          <w:tcPr>
            <w:tcW w:w="7800" w:type="dxa"/>
            <w:noWrap/>
          </w:tcPr>
          <w:p>
            <w:pPr>
              <w:jc w:val="start"/>
              <w:spacing w:before="0" w:after="0"/>
            </w:pPr>
            <w:r>
              <w:rPr/>
              <w:t xml:space="preserve">USD 1.974</w:t>
            </w:r>
          </w:p>
        </w:tc>
        <w:tc>
          <w:tcPr>
            <w:tcW w:w="7800" w:type="dxa"/>
            <w:gridSpan w:val="2"/>
            <w:noWrap/>
          </w:tcPr>
          <w:p>
            <w:pPr>
              <w:jc w:val="start"/>
              <w:spacing w:before="0" w:after="0"/>
            </w:pPr>
            <w:r>
              <w:rPr/>
              <w:t xml:space="preserve">USD 1.974</w:t>
            </w:r>
          </w:p>
        </w:tc>
        <w:tc>
          <w:tcPr>
            <w:tcW w:w="7800" w:type="dxa"/>
            <w:noWrap/>
          </w:tcPr>
          <w:p>
            <w:pPr>
              <w:jc w:val="start"/>
              <w:spacing w:before="0" w:after="0"/>
            </w:pPr>
            <w:r>
              <w:rPr/>
              <w:t xml:space="preserve">USD 2.771</w:t>
            </w:r>
          </w:p>
        </w:tc>
      </w:tr>
      <w:tr>
        <w:trPr/>
        <w:tc>
          <w:tcPr>
            <w:tcW w:w="7800" w:type="dxa"/>
            <w:noWrap/>
          </w:tcPr>
          <w:p>
            <w:pPr>
              <w:jc w:val="start"/>
              <w:spacing w:before="0" w:after="0"/>
            </w:pPr>
            <w:r>
              <w:rPr/>
              <w:t xml:space="preserve">Platino (26 Octubre 2025 – 16 Marzo 2026)</w:t>
            </w:r>
          </w:p>
        </w:tc>
        <w:tc>
          <w:tcPr>
            <w:tcW w:w="7800" w:type="dxa"/>
            <w:noWrap/>
          </w:tcPr>
          <w:p>
            <w:pPr>
              <w:jc w:val="start"/>
              <w:spacing w:before="0" w:after="0"/>
            </w:pPr>
            <w:r>
              <w:rPr/>
              <w:t xml:space="preserve">USD 2.181</w:t>
            </w:r>
          </w:p>
        </w:tc>
        <w:tc>
          <w:tcPr>
            <w:tcW w:w="7800" w:type="dxa"/>
            <w:gridSpan w:val="2"/>
            <w:noWrap/>
          </w:tcPr>
          <w:p>
            <w:pPr>
              <w:jc w:val="start"/>
              <w:spacing w:before="0" w:after="0"/>
            </w:pPr>
            <w:r>
              <w:rPr/>
              <w:t xml:space="preserve">USD 2.181</w:t>
            </w:r>
          </w:p>
        </w:tc>
        <w:tc>
          <w:tcPr>
            <w:tcW w:w="7800" w:type="dxa"/>
            <w:noWrap/>
          </w:tcPr>
          <w:p>
            <w:pPr>
              <w:jc w:val="start"/>
              <w:spacing w:before="0" w:after="0"/>
            </w:pPr>
            <w:r>
              <w:rPr/>
              <w:t xml:space="preserve">USD 3.116</w:t>
            </w:r>
          </w:p>
        </w:tc>
      </w:tr>
      <w:tr>
        <w:trPr/>
        <w:tc>
          <w:tcPr>
            <w:tcW w:w="7800" w:type="dxa"/>
            <w:noWrap/>
          </w:tcPr>
          <w:p>
            <w:pPr>
              <w:jc w:val="start"/>
              <w:spacing w:before="0" w:after="0"/>
            </w:pPr>
            <w:r>
              <w:rPr/>
              <w:t xml:space="preserve">Oro (04 Abril 2025 al 15 Septiembre 2025)</w:t>
            </w:r>
          </w:p>
        </w:tc>
        <w:tc>
          <w:tcPr>
            <w:tcW w:w="7800" w:type="dxa"/>
            <w:noWrap/>
          </w:tcPr>
          <w:p>
            <w:pPr>
              <w:jc w:val="start"/>
              <w:spacing w:before="0" w:after="0"/>
            </w:pPr>
            <w:r>
              <w:rPr/>
              <w:t xml:space="preserve">USD 2.371</w:t>
            </w:r>
          </w:p>
        </w:tc>
        <w:tc>
          <w:tcPr>
            <w:tcW w:w="7800" w:type="dxa"/>
            <w:gridSpan w:val="2"/>
            <w:noWrap/>
          </w:tcPr>
          <w:p>
            <w:pPr>
              <w:jc w:val="start"/>
              <w:spacing w:before="0" w:after="0"/>
            </w:pPr>
            <w:r>
              <w:rPr/>
              <w:t xml:space="preserve">USD 2.371</w:t>
            </w:r>
          </w:p>
        </w:tc>
        <w:tc>
          <w:tcPr>
            <w:tcW w:w="7800" w:type="dxa"/>
            <w:noWrap/>
          </w:tcPr>
          <w:p>
            <w:pPr>
              <w:jc w:val="start"/>
              <w:spacing w:before="0" w:after="0"/>
            </w:pPr>
            <w:r>
              <w:rPr/>
              <w:t xml:space="preserve">USD 3.441</w:t>
            </w:r>
          </w:p>
        </w:tc>
      </w:tr>
      <w:tr>
        <w:trPr/>
        <w:tc>
          <w:tcPr>
            <w:tcW w:w="7800" w:type="dxa"/>
            <w:noWrap/>
          </w:tcPr>
          <w:p>
            <w:pPr>
              <w:jc w:val="start"/>
              <w:spacing w:before="0" w:after="0"/>
            </w:pPr>
            <w:r>
              <w:rPr/>
              <w:t xml:space="preserve">Oro (26 Octubre 2025 – 16 Marzo 2026)</w:t>
            </w:r>
          </w:p>
        </w:tc>
        <w:tc>
          <w:tcPr>
            <w:tcW w:w="7800" w:type="dxa"/>
            <w:noWrap/>
          </w:tcPr>
          <w:p>
            <w:pPr>
              <w:jc w:val="start"/>
              <w:spacing w:before="0" w:after="0"/>
            </w:pPr>
            <w:r>
              <w:rPr/>
              <w:t xml:space="preserve">USD 2.592</w:t>
            </w:r>
          </w:p>
        </w:tc>
        <w:tc>
          <w:tcPr>
            <w:tcW w:w="7800" w:type="dxa"/>
            <w:gridSpan w:val="2"/>
            <w:noWrap/>
          </w:tcPr>
          <w:p>
            <w:pPr>
              <w:jc w:val="start"/>
              <w:spacing w:before="0" w:after="0"/>
            </w:pPr>
            <w:r>
              <w:rPr/>
              <w:t xml:space="preserve">USD 2.592</w:t>
            </w:r>
          </w:p>
        </w:tc>
        <w:tc>
          <w:tcPr>
            <w:tcW w:w="7800" w:type="dxa"/>
            <w:noWrap/>
          </w:tcPr>
          <w:p>
            <w:pPr>
              <w:jc w:val="start"/>
              <w:spacing w:before="0" w:after="0"/>
            </w:pPr>
            <w:r>
              <w:rPr/>
              <w:t xml:space="preserve">USD 3.901</w:t>
            </w:r>
          </w:p>
        </w:tc>
      </w:tr>
      <w:tr>
        <w:trPr/>
        <w:tc>
          <w:tcPr>
            <w:tcW w:w="7800" w:type="dxa"/>
            <w:noWrap/>
          </w:tcPr>
          <w:p>
            <w:pPr>
              <w:jc w:val="start"/>
              <w:spacing w:before="0" w:after="0"/>
            </w:pPr>
            <w:r>
              <w:rPr>
                <w:b w:val="1"/>
                <w:bCs w:val="1"/>
              </w:rPr>
              <w:t xml:space="preserve">SUPLEMENTO EN EGIPTO*</w:t>
            </w:r>
          </w:p>
        </w:tc>
        <w:tc>
          <w:tcPr>
            <w:tcW w:w="7800" w:type="dxa"/>
            <w:gridSpan w:val="2"/>
            <w:noWrap/>
          </w:tcPr>
          <w:p>
            <w:pPr>
              <w:jc w:val="start"/>
              <w:spacing w:before="0" w:after="0"/>
            </w:pPr>
            <w:r>
              <w:rPr>
                <w:b w:val="1"/>
                <w:bCs w:val="1"/>
              </w:rPr>
              <w:t xml:space="preserve">CAT. PRIMERA</w:t>
            </w:r>
          </w:p>
        </w:tc>
        <w:tc>
          <w:tcPr>
            <w:tcW w:w="7800" w:type="dxa"/>
            <w:gridSpan w:val="2"/>
            <w:noWrap/>
          </w:tcPr>
          <w:p>
            <w:pPr>
              <w:jc w:val="start"/>
              <w:spacing w:before="0" w:after="0"/>
            </w:pPr>
            <w:r>
              <w:rPr>
                <w:b w:val="1"/>
                <w:bCs w:val="1"/>
              </w:rPr>
              <w:t xml:space="preserve">CAT. LUJO</w:t>
            </w:r>
          </w:p>
        </w:tc>
      </w:tr>
      <w:tr>
        <w:trPr/>
        <w:tc>
          <w:tcPr>
            <w:tcW w:w="7800" w:type="dxa"/>
            <w:noWrap/>
          </w:tcPr>
          <w:p>
            <w:pPr>
              <w:jc w:val="start"/>
              <w:spacing w:before="0" w:after="0"/>
            </w:pPr>
            <w:r>
              <w:rPr/>
              <w:t xml:space="preserve">Semana Santa (Abril: 05, 12) Navidad/Fin Año (Diciembre: 13, 20, 27)</w:t>
            </w:r>
          </w:p>
        </w:tc>
        <w:tc>
          <w:tcPr>
            <w:tcW w:w="7800" w:type="dxa"/>
            <w:gridSpan w:val="2"/>
            <w:noWrap/>
          </w:tcPr>
          <w:p>
            <w:pPr>
              <w:jc w:val="start"/>
              <w:spacing w:before="0" w:after="0"/>
            </w:pPr>
            <w:r>
              <w:rPr/>
              <w:t xml:space="preserve">USD 280</w:t>
            </w:r>
          </w:p>
        </w:tc>
        <w:tc>
          <w:tcPr>
            <w:tcW w:w="7800" w:type="dxa"/>
            <w:gridSpan w:val="2"/>
            <w:noWrap/>
          </w:tcPr>
          <w:p>
            <w:pPr>
              <w:jc w:val="start"/>
              <w:spacing w:before="0" w:after="0"/>
            </w:pPr>
            <w:r>
              <w:rPr/>
              <w:t xml:space="preserve">USD 400</w:t>
            </w:r>
          </w:p>
        </w:tc>
      </w:tr>
      <w:tr>
        <w:trPr/>
        <w:tc>
          <w:tcPr>
            <w:tcW w:w="7800" w:type="dxa"/>
            <w:noWrap/>
          </w:tcPr>
          <w:p>
            <w:pPr>
              <w:jc w:val="start"/>
              <w:spacing w:before="0" w:after="0"/>
            </w:pPr>
            <w:r>
              <w:rPr>
                <w:b w:val="1"/>
                <w:bCs w:val="1"/>
              </w:rPr>
              <w:t xml:space="preserve">SUPLEMENTO EVENTOS DUBÁI*</w:t>
            </w:r>
          </w:p>
        </w:tc>
        <w:tc>
          <w:tcPr>
            <w:tcW w:w="7800" w:type="dxa"/>
            <w:gridSpan w:val="2"/>
            <w:noWrap/>
          </w:tcPr>
          <w:p>
            <w:pPr>
              <w:jc w:val="start"/>
              <w:spacing w:before="0" w:after="0"/>
            </w:pPr>
            <w:r>
              <w:rPr>
                <w:b w:val="1"/>
                <w:bCs w:val="1"/>
              </w:rPr>
              <w:t xml:space="preserve">CAT. PRIMERA</w:t>
            </w:r>
          </w:p>
        </w:tc>
        <w:tc>
          <w:tcPr>
            <w:tcW w:w="7800" w:type="dxa"/>
            <w:gridSpan w:val="2"/>
            <w:noWrap/>
          </w:tcPr>
          <w:p>
            <w:pPr>
              <w:jc w:val="start"/>
              <w:spacing w:before="0" w:after="0"/>
            </w:pPr>
            <w:r>
              <w:rPr>
                <w:b w:val="1"/>
                <w:bCs w:val="1"/>
              </w:rPr>
              <w:t xml:space="preserve">CAT. LUJO</w:t>
            </w:r>
          </w:p>
        </w:tc>
      </w:tr>
      <w:tr>
        <w:trPr/>
        <w:tc>
          <w:tcPr>
            <w:tcW w:w="7800" w:type="dxa"/>
            <w:noWrap/>
          </w:tcPr>
          <w:p>
            <w:pPr>
              <w:jc w:val="start"/>
              <w:spacing w:before="0" w:after="0"/>
            </w:pPr>
            <w:r>
              <w:rPr/>
              <w:t xml:space="preserve">(Septiembre: 20) (Enero 2026: 03, 24) Navidad/Fin Año (06, 13 Diciembre)</w:t>
            </w:r>
          </w:p>
        </w:tc>
        <w:tc>
          <w:tcPr>
            <w:tcW w:w="7800" w:type="dxa"/>
            <w:gridSpan w:val="2"/>
            <w:noWrap/>
          </w:tcPr>
          <w:p>
            <w:pPr>
              <w:jc w:val="start"/>
              <w:spacing w:before="0" w:after="0"/>
            </w:pPr>
            <w:r>
              <w:rPr/>
              <w:t xml:space="preserve">USD 495</w:t>
            </w:r>
          </w:p>
        </w:tc>
        <w:tc>
          <w:tcPr>
            <w:tcW w:w="7800" w:type="dxa"/>
            <w:gridSpan w:val="2"/>
            <w:noWrap/>
          </w:tcPr>
          <w:p>
            <w:pPr>
              <w:jc w:val="start"/>
              <w:spacing w:before="0" w:after="0"/>
            </w:pPr>
            <w:r>
              <w:rPr/>
              <w:t xml:space="preserve">USD 600</w:t>
            </w:r>
          </w:p>
        </w:tc>
      </w:tr>
      <w:tr>
        <w:trPr/>
        <w:tc>
          <w:tcPr>
            <w:tcW w:w="7800" w:type="dxa"/>
            <w:gridSpan w:val="5"/>
            <w:noWrap/>
          </w:tcPr>
          <w:p>
            <w:pPr>
              <w:jc w:val="start"/>
              <w:spacing w:before="0" w:after="0"/>
            </w:pPr>
            <w:r>
              <w:rPr>
                <w:b w:val="1"/>
                <w:bCs w:val="1"/>
              </w:rPr>
              <w:t xml:space="preserve">TARIFA:</w:t>
            </w:r>
            <w:r>
              <w:rPr/>
              <w:t xml:space="preserve"> Esta tarifa aplica para total en pesos colombianos a la TRM del día del pago, según la liquidación enviada. *La acomodación en triple será c/ la adición de una cama extra portable una vez que los hoteles no suelen tener habitaciones con 3 camas en Turquía. </w:t>
            </w:r>
            <w:r>
              <w:rPr>
                <w:b w:val="1"/>
                <w:bCs w:val="1"/>
              </w:rPr>
              <w:t xml:space="preserve">*</w:t>
            </w:r>
            <w:r>
              <w:rPr/>
              <w:t xml:space="preserve">En caso de no recibir los datos de vuelo de llegada o salida hasta 07 días antes del tour no se podrá garantizar el servicio de traslados.</w:t>
            </w:r>
          </w:p>
        </w:tc>
      </w:tr>
      <w:tr>
        <w:trPr/>
        <w:tc>
          <w:tcPr>
            <w:tcW w:w="7800" w:type="dxa"/>
            <w:gridSpan w:val="5"/>
            <w:noWrap/>
          </w:tcPr>
          <w:p>
            <w:pPr>
              <w:jc w:val="start"/>
              <w:spacing w:before="0" w:after="0"/>
            </w:pPr>
            <w:r>
              <w:rPr/>
              <w:t xml:space="preserve">Para llegadas y/o salidas diferentes a las previstas en el tour, los traslados no están incluidos en el valor del paquete. Lo mismo ocurre con noche(s) extra(s). En ambos casos, para mayor comodidad de los pasajeros, podrán ser contratados los transfers extra necesarios.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tc>
      </w:tr>
      <w:tr>
        <w:trPr/>
        <w:tc>
          <w:tcPr>
            <w:tcW w:w="7800" w:type="dxa"/>
            <w:gridSpan w:val="5"/>
            <w:noWrap/>
          </w:tcPr>
          <w:p>
            <w:pPr>
              <w:jc w:val="start"/>
              <w:spacing w:before="0" w:after="0"/>
            </w:pPr>
            <w:r>
              <w:rPr/>
              <w:t xml:space="preserve">*Las salidas que coincidan o incluyan en las fechas indicadas como suplemento, tanto en Egipto como en Dubái, están sujetas a suplemento obligatorio, que se aplicará con arreglo a los días de estancia.</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1"/>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Gonen Hotel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Dedeman Istanbul o similar.</w:t>
            </w:r>
          </w:p>
        </w:tc>
        <w:tc>
          <w:tcPr>
            <w:tcW w:w="7800" w:type="dxa"/>
            <w:noWrap/>
          </w:tcPr>
          <w:p>
            <w:pPr>
              <w:jc w:val="start"/>
              <w:spacing w:before="0" w:after="0"/>
            </w:pPr>
            <w:r>
              <w:rPr/>
              <w:t xml:space="preserve">Oro</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Oro</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Adempira Termal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Oro</w:t>
            </w:r>
          </w:p>
        </w:tc>
      </w:tr>
      <w:tr>
        <w:trPr/>
        <w:tc>
          <w:tcPr>
            <w:tcW w:w="7800" w:type="dxa"/>
            <w:noWrap/>
          </w:tcPr>
          <w:p>
            <w:pPr>
              <w:jc w:val="start"/>
              <w:spacing w:before="0" w:after="0"/>
            </w:pPr>
            <w:r>
              <w:rPr/>
              <w:t xml:space="preserve">El Cairo</w:t>
            </w:r>
          </w:p>
        </w:tc>
        <w:tc>
          <w:tcPr>
            <w:tcW w:w="7800" w:type="dxa"/>
            <w:noWrap/>
          </w:tcPr>
          <w:p>
            <w:pPr>
              <w:jc w:val="start"/>
              <w:spacing w:before="0" w:after="0"/>
            </w:pPr>
            <w:r>
              <w:rPr/>
              <w:t xml:space="preserve">Pyramids Park / Oasis Pyramids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Ramses Hilton o Similar</w:t>
            </w:r>
          </w:p>
        </w:tc>
        <w:tc>
          <w:tcPr>
            <w:tcW w:w="7800" w:type="dxa"/>
            <w:noWrap/>
          </w:tcPr>
          <w:p>
            <w:pPr>
              <w:jc w:val="start"/>
              <w:spacing w:before="0" w:after="0"/>
            </w:pPr>
            <w:r>
              <w:rPr/>
              <w:t xml:space="preserve">Oro</w:t>
            </w:r>
          </w:p>
        </w:tc>
      </w:tr>
      <w:tr>
        <w:trPr/>
        <w:tc>
          <w:tcPr>
            <w:tcW w:w="7800" w:type="dxa"/>
            <w:noWrap/>
          </w:tcPr>
          <w:p>
            <w:pPr>
              <w:jc w:val="start"/>
              <w:spacing w:before="0" w:after="0"/>
            </w:pPr>
            <w:r>
              <w:rPr/>
              <w:t xml:space="preserve">Crucero del Nilo.</w:t>
            </w:r>
          </w:p>
        </w:tc>
        <w:tc>
          <w:tcPr>
            <w:tcW w:w="7800" w:type="dxa"/>
            <w:noWrap/>
          </w:tcPr>
          <w:p>
            <w:pPr>
              <w:jc w:val="start"/>
              <w:spacing w:before="0" w:after="0"/>
            </w:pPr>
            <w:r>
              <w:rPr/>
              <w:t xml:space="preserve">M/S Solaris II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M/S Royal Isadora o similar.</w:t>
            </w:r>
          </w:p>
        </w:tc>
        <w:tc>
          <w:tcPr>
            <w:tcW w:w="7800" w:type="dxa"/>
            <w:noWrap/>
          </w:tcPr>
          <w:p>
            <w:pPr>
              <w:jc w:val="start"/>
              <w:spacing w:before="0" w:after="0"/>
            </w:pPr>
            <w:r>
              <w:rPr/>
              <w:t xml:space="preserve">Oro</w:t>
            </w:r>
          </w:p>
        </w:tc>
      </w:tr>
      <w:tr>
        <w:trPr/>
        <w:tc>
          <w:tcPr>
            <w:tcW w:w="7800" w:type="dxa"/>
            <w:noWrap/>
          </w:tcPr>
          <w:p>
            <w:pPr>
              <w:jc w:val="start"/>
              <w:spacing w:before="0" w:after="0"/>
            </w:pPr>
            <w:r>
              <w:rPr/>
              <w:t xml:space="preserve">Dubái</w:t>
            </w:r>
          </w:p>
        </w:tc>
        <w:tc>
          <w:tcPr>
            <w:tcW w:w="7800" w:type="dxa"/>
            <w:noWrap/>
          </w:tcPr>
          <w:p>
            <w:pPr>
              <w:jc w:val="start"/>
              <w:spacing w:before="0" w:after="0"/>
            </w:pPr>
            <w:r>
              <w:rPr/>
              <w:t xml:space="preserve">Hilton Garden Inn Jaddaf o similar.</w:t>
            </w:r>
          </w:p>
        </w:tc>
        <w:tc>
          <w:tcPr>
            <w:tcW w:w="7800" w:type="dxa"/>
            <w:noWrap/>
          </w:tcPr>
          <w:p>
            <w:pPr>
              <w:jc w:val="start"/>
              <w:spacing w:before="0" w:after="0"/>
            </w:pPr>
            <w:r>
              <w:rPr/>
              <w:t xml:space="preserve">Platino</w:t>
            </w:r>
          </w:p>
        </w:tc>
      </w:tr>
      <w:tr>
        <w:trPr/>
        <w:tc>
          <w:tcPr>
            <w:tcW w:w="7800" w:type="dxa"/>
            <w:noWrap/>
          </w:tcPr>
          <w:p>
            <w:pPr>
              <w:jc w:val="start"/>
              <w:spacing w:before="0" w:after="0"/>
            </w:pPr>
            <w:r>
              <w:rPr/>
              <w:t xml:space="preserve">Hilton Garden Inn Mall Of Emirates o similar.</w:t>
            </w:r>
          </w:p>
        </w:tc>
        <w:tc>
          <w:tcPr>
            <w:tcW w:w="7800" w:type="dxa"/>
            <w:noWrap/>
          </w:tcPr>
          <w:p>
            <w:pPr>
              <w:jc w:val="start"/>
              <w:spacing w:before="0" w:after="0"/>
            </w:pPr>
            <w:r>
              <w:rPr/>
              <w:t xml:space="preserve">Oro</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04 noches de Alojamiento con desayuno en Estambul.</w:t>
      </w:r>
    </w:p>
    <w:p>
      <w:pPr>
        <w:numPr>
          <w:ilvl w:val="1"/>
          <w:numId w:val="2"/>
        </w:numPr>
      </w:pPr>
      <w:r>
        <w:rPr/>
        <w:t xml:space="preserve">02 Noches de Alojamiento en Capadocia.</w:t>
      </w:r>
    </w:p>
    <w:p>
      <w:pPr>
        <w:numPr>
          <w:ilvl w:val="1"/>
          <w:numId w:val="2"/>
        </w:numPr>
      </w:pPr>
      <w:r>
        <w:rPr/>
        <w:t xml:space="preserve">0 Noches de Alojamiento en Pamukkale.</w:t>
      </w:r>
    </w:p>
    <w:p>
      <w:pPr>
        <w:numPr>
          <w:ilvl w:val="1"/>
          <w:numId w:val="2"/>
        </w:numPr>
      </w:pPr>
      <w:r>
        <w:rPr/>
        <w:t xml:space="preserve">Desayunos diarios, 03 cenas.</w:t>
      </w:r>
    </w:p>
    <w:p>
      <w:pPr>
        <w:numPr>
          <w:ilvl w:val="1"/>
          <w:numId w:val="2"/>
        </w:numPr>
      </w:pPr>
      <w:r>
        <w:rPr/>
        <w:t xml:space="preserve">Guía de habla hispana</w:t>
      </w:r>
    </w:p>
    <w:p>
      <w:pPr>
        <w:numPr>
          <w:ilvl w:val="1"/>
          <w:numId w:val="2"/>
        </w:numPr>
      </w:pPr>
      <w:r>
        <w:rPr/>
        <w:t xml:space="preserve">Entradas y visitas de acuerdo con el mencionado en el programa.</w:t>
      </w:r>
    </w:p>
    <w:p>
      <w:pPr>
        <w:numPr>
          <w:ilvl w:val="1"/>
          <w:numId w:val="2"/>
        </w:numPr>
      </w:pPr>
      <w:r>
        <w:rPr/>
        <w:t xml:space="preserve">Traslados in/out en auto con aire acondicionado en servicio regular.</w:t>
      </w:r>
    </w:p>
    <w:p>
      <w:pPr>
        <w:numPr>
          <w:ilvl w:val="1"/>
          <w:numId w:val="2"/>
        </w:numPr>
      </w:pPr>
      <w:r>
        <w:rPr/>
        <w:t xml:space="preserve">Todos los servicios en plan Regular.</w:t>
      </w:r>
    </w:p>
    <w:p>
      <w:pPr>
        <w:numPr>
          <w:ilvl w:val="1"/>
          <w:numId w:val="2"/>
        </w:numPr>
      </w:pPr>
      <w:r>
        <w:rPr/>
        <w:t xml:space="preserve">Vuelos domésticos: Estambul – Capadocia // Izmir – Estambul. (Política de equipaje 1 pieza de bodega 23kg por persona + Equipaje de mano)</w:t>
      </w:r>
    </w:p>
    <w:p>
      <w:pPr>
        <w:numPr>
          <w:ilvl w:val="1"/>
          <w:numId w:val="2"/>
        </w:numPr>
      </w:pPr>
      <w:r>
        <w:rPr/>
        <w:t xml:space="preserve">03 noches de Alojamiento en El Cairo con desayuno.</w:t>
      </w:r>
    </w:p>
    <w:p>
      <w:pPr>
        <w:numPr>
          <w:ilvl w:val="1"/>
          <w:numId w:val="2"/>
        </w:numPr>
      </w:pPr>
      <w:r>
        <w:rPr/>
        <w:t xml:space="preserve">04 noches de Crucero por el Río Nilo con Pensión completa tipo buffet. (No incluye bebidas).</w:t>
      </w:r>
    </w:p>
    <w:p>
      <w:pPr>
        <w:numPr>
          <w:ilvl w:val="1"/>
          <w:numId w:val="2"/>
        </w:numPr>
      </w:pPr>
      <w:r>
        <w:rPr/>
        <w:t xml:space="preserve">Las Visitas mencionadas en itinerario con entradas y guía de habla hispana en Egipto.</w:t>
      </w:r>
    </w:p>
    <w:p>
      <w:pPr>
        <w:numPr>
          <w:ilvl w:val="1"/>
          <w:numId w:val="2"/>
        </w:numPr>
      </w:pPr>
      <w:r>
        <w:rPr/>
        <w:t xml:space="preserve">Todos los traslados en buses/coches con aire acondicionado en Egipto.</w:t>
      </w:r>
    </w:p>
    <w:p>
      <w:pPr>
        <w:numPr>
          <w:ilvl w:val="1"/>
          <w:numId w:val="2"/>
        </w:numPr>
      </w:pPr>
      <w:r>
        <w:rPr/>
        <w:t xml:space="preserve">04 noches de Alojamiento en Dubái en la categoría seleccionado.</w:t>
      </w:r>
    </w:p>
    <w:p>
      <w:pPr>
        <w:numPr>
          <w:ilvl w:val="1"/>
          <w:numId w:val="2"/>
        </w:numPr>
      </w:pPr>
      <w:r>
        <w:rPr/>
        <w:t xml:space="preserve">Traslados in/out en auto con aire acondicionado.</w:t>
      </w:r>
    </w:p>
    <w:p>
      <w:pPr>
        <w:numPr>
          <w:ilvl w:val="1"/>
          <w:numId w:val="2"/>
        </w:numPr>
      </w:pPr>
      <w:r>
        <w:rPr/>
        <w:t xml:space="preserve">Desayuno buffet durante la estancia.</w:t>
      </w:r>
    </w:p>
    <w:p>
      <w:pPr>
        <w:numPr>
          <w:ilvl w:val="1"/>
          <w:numId w:val="2"/>
        </w:numPr>
      </w:pPr>
      <w:r>
        <w:rPr/>
        <w:t xml:space="preserve">Medio día de visita Dubái en regular con Guía de habla hispana.</w:t>
      </w:r>
    </w:p>
    <w:p>
      <w:pPr>
        <w:numPr>
          <w:ilvl w:val="1"/>
          <w:numId w:val="2"/>
        </w:numPr>
      </w:pPr>
      <w:r>
        <w:rPr/>
        <w:t xml:space="preserve">Todos los servicios en plan regular en Dubái.</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Propinas obligatorias en Turquía de USD 45 por persona (para choferes, camareros y maleteros). Se paga en el destino.</w:t>
      </w:r>
    </w:p>
    <w:p>
      <w:pPr>
        <w:numPr>
          <w:ilvl w:val="1"/>
          <w:numId w:val="2"/>
        </w:numPr>
      </w:pPr>
      <w:r>
        <w:rPr/>
        <w:t xml:space="preserve">Propina para el guía en Estambul se entrega según criterio del grupo, se sugiere USD 20 por pasajero.</w:t>
      </w:r>
    </w:p>
    <w:p>
      <w:pPr>
        <w:numPr>
          <w:ilvl w:val="1"/>
          <w:numId w:val="2"/>
        </w:numPr>
      </w:pPr>
      <w:r>
        <w:rPr/>
        <w:t xml:space="preserve">Propinas en el crucero por el Nilo en Egipto de USD 45 por persona aprox. (se paga en el destino).</w:t>
      </w:r>
    </w:p>
    <w:p>
      <w:pPr>
        <w:numPr>
          <w:ilvl w:val="1"/>
          <w:numId w:val="2"/>
        </w:numPr>
      </w:pPr>
      <w:r>
        <w:rPr/>
        <w:t xml:space="preserve">Propina para el guía en El Cairo se entrega según criterio del grupo, se sugiere USD 10 por pasajero.</w:t>
      </w:r>
    </w:p>
    <w:p>
      <w:pPr>
        <w:numPr>
          <w:ilvl w:val="1"/>
          <w:numId w:val="2"/>
        </w:numPr>
      </w:pPr>
      <w:r>
        <w:rPr/>
        <w:t xml:space="preserve">Propinas para el guía en Dubái se sugiere USD 20 por pasajero.</w:t>
      </w:r>
    </w:p>
    <w:p>
      <w:pPr>
        <w:numPr>
          <w:ilvl w:val="1"/>
          <w:numId w:val="2"/>
        </w:numPr>
      </w:pPr>
      <w:r>
        <w:rPr/>
        <w:t xml:space="preserve">Extras y gastos personales.</w:t>
      </w:r>
    </w:p>
    <w:p>
      <w:pPr>
        <w:numPr>
          <w:ilvl w:val="1"/>
          <w:numId w:val="2"/>
        </w:numPr>
      </w:pPr>
      <w:r>
        <w:rPr/>
        <w:t xml:space="preserve">Visa de Egipto.</w:t>
      </w:r>
    </w:p>
    <w:p>
      <w:pPr>
        <w:numPr>
          <w:ilvl w:val="1"/>
          <w:numId w:val="2"/>
        </w:numPr>
      </w:pPr>
      <w:r>
        <w:rPr/>
        <w:t xml:space="preserve">Tarjeta de asistencia médica.</w:t>
      </w:r>
    </w:p>
    <w:p>
      <w:pPr>
        <w:numPr>
          <w:ilvl w:val="1"/>
          <w:numId w:val="2"/>
        </w:numPr>
      </w:pPr>
      <w:r>
        <w:rPr/>
        <w:t xml:space="preserve">2% Fee bancario.</w:t>
      </w:r>
    </w:p>
    <w:p>
      <w:pPr>
        <w:numPr>
          <w:ilvl w:val="1"/>
          <w:numId w:val="2"/>
        </w:numPr>
      </w:pPr>
      <w:r>
        <w:rPr/>
        <w:t xml:space="preserve">Dubái Toursim Fee (A pagar directamente por el cliente en el Hotel).</w:t>
      </w:r>
    </w:p>
    <w:p>
      <w:pPr>
        <w:numPr>
          <w:ilvl w:val="1"/>
          <w:numId w:val="2"/>
        </w:numPr>
      </w:pPr>
      <w:r>
        <w:rPr/>
        <w:t xml:space="preserve">Vuelos internacionales y/o domésticos.</w:t>
      </w:r>
    </w:p>
    <w:p>
      <w:pPr>
        <w:numPr>
          <w:ilvl w:val="1"/>
          <w:numId w:val="2"/>
        </w:numPr>
      </w:pPr>
      <w:r>
        <w:rPr/>
        <w:t xml:space="preserve">Tiquetes aéreos domésticos: El Cairo – Luxor / Aswan – El Cairo (USD 410 valor por persona, sujeto a disponibilidad y cambio sin previo aviso).</w:t>
      </w:r>
    </w:p>
    <w:p>
      <w:pPr>
        <w:numPr>
          <w:ilvl w:val="1"/>
          <w:numId w:val="2"/>
        </w:numPr>
      </w:pPr>
      <w:r>
        <w:rPr/>
        <w:t xml:space="preserve">Ningún servicio no especificado.</w:t>
      </w:r>
    </w:p>
    <w:p>
      <w:pPr>
        <w:numPr>
          <w:ilvl w:val="1"/>
          <w:numId w:val="2"/>
        </w:numPr>
      </w:pPr>
      <w:r>
        <w:rPr/>
        <w:t xml:space="preserve">Excursiones opcionales.</w:t>
      </w:r>
    </w:p>
    <w:p>
      <w:pPr>
        <w:numPr>
          <w:ilvl w:val="1"/>
          <w:numId w:val="2"/>
        </w:numPr>
      </w:pPr>
      <w:r>
        <w:rPr/>
        <w:t xml:space="preserve">Recargos en los hoteles por Early Check in o Late Check out.             </w:t>
      </w:r>
    </w:p>
    <w:p>
      <w:pPr>
        <w:numPr>
          <w:ilvl w:val="1"/>
          <w:numId w:val="2"/>
        </w:numPr>
      </w:pPr>
      <w:r>
        <w:rPr/>
        <w:t xml:space="preserve">Bebidas en las comidas incluidas. </w:t>
      </w:r>
    </w:p>
    <w:p>
      <w:pPr>
        <w:numPr>
          <w:ilvl w:val="1"/>
          <w:numId w:val="2"/>
        </w:numPr>
      </w:pPr>
      <w:r>
        <w:rPr/>
        <w:t xml:space="preserve">Impuesto de Alojamiento en Turquía por persona de acuerdo con la categoría, se paga directamente en destino:</w:t>
      </w:r>
    </w:p>
    <w:p>
      <w:pPr>
        <w:numPr>
          <w:ilvl w:val="1"/>
          <w:numId w:val="2"/>
        </w:numPr>
      </w:pPr>
      <w:r>
        <w:rPr/>
        <w:t xml:space="preserve">Categoría. Platino - 15 USD</w:t>
      </w:r>
    </w:p>
    <w:p>
      <w:pPr>
        <w:numPr>
          <w:ilvl w:val="1"/>
          <w:numId w:val="2"/>
        </w:numPr>
      </w:pPr>
      <w:r>
        <w:rPr/>
        <w:t xml:space="preserve">Categoría. Oro - 25 USD</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9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A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2025-12-14T07:07:42+00:00</dcterms:created>
  <dcterms:modified xsi:type="dcterms:W3CDTF">2025-12-14T07:07:42+00:00</dcterms:modified>
</cp:coreProperties>
</file>

<file path=docProps/custom.xml><?xml version="1.0" encoding="utf-8"?>
<Properties xmlns="http://schemas.openxmlformats.org/officeDocument/2006/custom-properties" xmlns:vt="http://schemas.openxmlformats.org/officeDocument/2006/docPropsVTypes"/>
</file>