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LA MESOPOTAMIA TURCA                    </w:t>
      </w:r>
    </w:p>
    <w:p>
      <w:pPr/>
      <w:r>
        <w:rPr>
          <w:rFonts w:ascii="Arial" w:hAnsi="Arial" w:eastAsia="Arial" w:cs="Arial"/>
          <w:color w:val="light"/>
          <w:sz w:val="22"/>
          <w:szCs w:val="22"/>
          <w:b w:val="0"/>
          <w:bCs w:val="0"/>
        </w:rPr>
        <w:t xml:space="preserve">MTC - 28440</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$499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Mardin, </w:t>
      </w:r>
      <w:r>
        <w:rPr/>
        <w:t xml:space="preserve">Sanliurfa, </w:t>
      </w:r>
      <w:r>
        <w:rPr/>
        <w:t xml:space="preserve">Gaziantep, </w:t>
      </w:r>
      <w:r>
        <w:rPr/>
        <w:t xml:space="preserve">Capadocia, </w:t>
      </w: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CIUDAD DE ORIGEN – ESTAMBUL</w:t>
      </w:r>
    </w:p>
    <w:p>
      <w:pPr/>
      <w:r>
        <w:rPr/>
        <w:t xml:space="preserve">Bienvenido a Turquía, un país con una historia y una cultura únicas, donde vivirás unas vacaciones extraordinarias. Un nuevo mundo de experiencias te espera, donde las diferencias de Oriente y Occidente se combinan en un sólo país. Llegada en vuelo internacional al espectacular Aeropuerto de Estambul (IST), inaugurado en abril de 2019 y hoy el más grande de Europa y uno de los más grandes del mundo. Luego de desembarcar, pasar por migraciones y tomar las maletas, deberá dirigirse a nuestro punto de encuentro (consultar en su voucher) donde nuestro equipo lo recibirá. Luego nos encontraremos con nuestros conductores y vehículos modernos para su traslado al hotel. Llegada y acomodación. Tiempo libre para descansar.</w:t>
      </w:r>
      <w:r>
        <w:rPr>
          <w:b w:val="1"/>
          <w:bCs w:val="1"/>
        </w:rPr>
        <w:t xml:space="preserve"> Alojamiento.</w:t>
      </w:r>
    </w:p>
    <w:p>
      <w:pPr/>
      <w:r>
        <w:rPr/>
        <w:t xml:space="preserve"> </w:t>
      </w:r>
    </w:p>
    <w:p>
      <w:pPr/>
      <w:r>
        <w:rPr>
          <w:b w:val="1"/>
          <w:bCs w:val="1"/>
        </w:rPr>
        <w:t xml:space="preserve">DÍA 02 ESTAMBUL</w:t>
      </w:r>
    </w:p>
    <w:p>
      <w:pPr/>
      <w:r>
        <w:rPr>
          <w:b w:val="1"/>
          <w:bCs w:val="1"/>
        </w:rPr>
        <w:t xml:space="preserve">Desayuno. </w:t>
      </w:r>
      <w:r>
        <w:rPr/>
        <w:t xml:space="preserve">Salida para una excursión panorámica en una de las zonas más antiguas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dependerá de horarios y punto de encuentro.</w:t>
      </w:r>
    </w:p>
    <w:p>
      <w:pPr/>
      <w:r>
        <w:rPr/>
        <w:t xml:space="preserve"> </w:t>
      </w:r>
    </w:p>
    <w:p>
      <w:pPr/>
      <w:r>
        <w:rPr/>
        <w:t xml:space="preserve">Posibilidad de tomar la excursión opcional</w:t>
      </w:r>
      <w:r>
        <w:rPr>
          <w:b w:val="1"/>
          <w:bCs w:val="1"/>
          <w:i w:val="1"/>
          <w:iCs w:val="1"/>
        </w:rPr>
        <w:t xml:space="preserve"> “PERLAS DEL CUERNO DE ORO Y BÓSFORO”</w:t>
      </w:r>
      <w:r>
        <w:rPr/>
        <w:t xml:space="preserve"> (incluye almuerzo en restaurante de comida típica):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w:t>
      </w:r>
      <w:r>
        <w:rPr>
          <w:b w:val="1"/>
          <w:bCs w:val="1"/>
        </w:rPr>
        <w:t xml:space="preserve"> Alojamiento.</w:t>
      </w:r>
    </w:p>
    <w:p>
      <w:pPr/>
      <w:r>
        <w:rPr/>
        <w:t xml:space="preserve"> </w:t>
      </w:r>
    </w:p>
    <w:p>
      <w:pPr/>
      <w:r>
        <w:rPr>
          <w:b w:val="1"/>
          <w:bCs w:val="1"/>
        </w:rPr>
        <w:t xml:space="preserve">DÍA 03 ESTAMBUL – MARDIN</w:t>
      </w:r>
    </w:p>
    <w:p>
      <w:pPr/>
      <w:r>
        <w:rPr>
          <w:b w:val="1"/>
          <w:bCs w:val="1"/>
        </w:rPr>
        <w:t xml:space="preserve">Desayuno. </w:t>
      </w:r>
      <w:r>
        <w:rPr/>
        <w:t xml:space="preserve">Partida al aeropuerto para tomar vuelo con destino a Mardin (no incluido en el precio del programa - consultar el suplemento obligatorio). Llegada a Mardin donde se verá una encantadora ciudad ubicada en el sureste de Turquía, te ofrece una vista panorámica impresionante que te dejará sin aliento. Esta ciudad histórica, con sus calles empedradas y arquitectura tradicional, el centro de Mardin y su magnífico castillo, monasterios.</w:t>
      </w:r>
      <w:r>
        <w:rPr>
          <w:b w:val="1"/>
          <w:bCs w:val="1"/>
        </w:rPr>
        <w:t xml:space="preserve"> Cena </w:t>
      </w:r>
      <w:r>
        <w:rPr/>
        <w:t xml:space="preserve">y </w:t>
      </w:r>
      <w:r>
        <w:rPr>
          <w:b w:val="1"/>
          <w:bCs w:val="1"/>
        </w:rPr>
        <w:t xml:space="preserve">Alojamiento.</w:t>
      </w:r>
    </w:p>
    <w:p>
      <w:pPr/>
      <w:r>
        <w:rPr/>
        <w:t xml:space="preserve"> </w:t>
      </w:r>
    </w:p>
    <w:p>
      <w:pPr/>
      <w:r>
        <w:rPr>
          <w:b w:val="1"/>
          <w:bCs w:val="1"/>
        </w:rPr>
        <w:t xml:space="preserve">DÍA 04 MARDIN</w:t>
      </w:r>
    </w:p>
    <w:p>
      <w:pPr/>
      <w:r>
        <w:rPr>
          <w:b w:val="1"/>
          <w:bCs w:val="1"/>
        </w:rPr>
        <w:t xml:space="preserve">Desayuno. </w:t>
      </w:r>
      <w:r>
        <w:rPr/>
        <w:t xml:space="preserve">Día libre. Posibilidad de tomar la excursión</w:t>
      </w:r>
      <w:r>
        <w:rPr>
          <w:b w:val="1"/>
          <w:bCs w:val="1"/>
          <w:i w:val="1"/>
          <w:iCs w:val="1"/>
        </w:rPr>
        <w:t xml:space="preserve"> “ENCANTOS DE MIDYAT”:</w:t>
      </w:r>
      <w:r>
        <w:rPr/>
        <w:t xml:space="preserve"> El encanto de Midyat radica en sus antiguas casas de piedra y su ambiente auténtico. Uno de los aspectos más destacados de Midyat es su iglesia Mor Gabriel, que data del siglo IV y es uno de los monasterios cristianos más antiguos del mundo. Con su impresionante arquitectura y su ambiente sagrado, la iglesia Mor Gabriel es un lugar de gran importancia histórica y religiosa. Finalizamos con un recorrido por Midyat es una ciudad llena de encanto y autenticidad. Su arquitectura distintiva, su rica historia, su artesanía y su deliciosa gastronomía la convierten en un destino fascinante para aquellos que desean sumergirse en la cultura y la tradición de esta región de Turquía.</w:t>
      </w:r>
      <w:r>
        <w:rPr>
          <w:b w:val="1"/>
          <w:bCs w:val="1"/>
        </w:rPr>
        <w:t xml:space="preserve"> Cena </w:t>
      </w:r>
      <w:r>
        <w:rPr/>
        <w:t xml:space="preserve">y</w:t>
      </w:r>
      <w:r>
        <w:rPr>
          <w:b w:val="1"/>
          <w:bCs w:val="1"/>
        </w:rPr>
        <w:t xml:space="preserve"> Alojamiento en Mardin.</w:t>
      </w:r>
    </w:p>
    <w:p>
      <w:pPr/>
      <w:r>
        <w:rPr/>
        <w:t xml:space="preserve"> </w:t>
      </w:r>
    </w:p>
    <w:p>
      <w:pPr/>
      <w:r>
        <w:rPr>
          <w:b w:val="1"/>
          <w:bCs w:val="1"/>
        </w:rPr>
        <w:t xml:space="preserve">DÍA 05 MARDIN – URFA </w:t>
      </w:r>
    </w:p>
    <w:p>
      <w:pPr/>
      <w:r>
        <w:rPr>
          <w:b w:val="1"/>
          <w:bCs w:val="1"/>
        </w:rPr>
        <w:t xml:space="preserve">Desayuno. </w:t>
      </w:r>
      <w:r>
        <w:rPr/>
        <w:t xml:space="preserve">Salida hacia Urfa. Comenzamos nuestra visita panorámica en Urfa y su centro histórico con el sagrado lago de Balikligol. Según la leyenda, este es el lugar donde Abraham fue arrojado al fuego por desafiar al rey Nimrod. Las carpas que viven en el lago son consideradas sagradas.  Se podrá también admirar la antigua fortaleza en la cima de una colina. Seguimos con la hermosa Mezquita de Rizvaniye, conocida por sus impresionantes cúpulas y arquitectura otomana. En un lugar tranquilo para apreciar la espiritualidad y cultura local. </w:t>
      </w:r>
      <w:r>
        <w:rPr>
          <w:b w:val="1"/>
          <w:bCs w:val="1"/>
        </w:rPr>
        <w:t xml:space="preserve">Alojamiento.</w:t>
      </w:r>
    </w:p>
    <w:p>
      <w:pPr/>
      <w:r>
        <w:rPr/>
        <w:t xml:space="preserve"> </w:t>
      </w:r>
    </w:p>
    <w:p>
      <w:pPr/>
      <w:r>
        <w:rPr/>
        <w:t xml:space="preserve">Posibilidad de tomar las </w:t>
      </w:r>
      <w:r>
        <w:rPr>
          <w:b w:val="1"/>
          <w:bCs w:val="1"/>
          <w:i w:val="1"/>
          <w:iCs w:val="1"/>
        </w:rPr>
        <w:t xml:space="preserve">excursiones opcionales:</w:t>
      </w:r>
      <w:r>
        <w:rPr/>
        <w:t xml:space="preserve"> </w:t>
      </w:r>
      <w:r>
        <w:rPr>
          <w:b w:val="1"/>
          <w:bCs w:val="1"/>
          <w:i w:val="1"/>
          <w:iCs w:val="1"/>
        </w:rPr>
        <w:t xml:space="preserve">“MESOPOTAMIA ANCESTRAL”:</w:t>
      </w:r>
      <w:r>
        <w:rPr/>
        <w:t xml:space="preserve"> Visita al Gobekli Tepe. Visita al museo arqueológico de Urfa por ser un sitio arqueológico en Turquía que data de aproximadamente 9600 a.C. Es considerado uno de los hallazgos más importantes de la prehistoria debido a su antigüedad y la complejidad de sus estructuras. El lugar consiste en grandes pilares de piedra tallados con figuras animales y humanas, indicando una sorprendente habilidad artística para la época. Gobekli Tepe ha redefinido nuestra comprensión del desarrollo de las sociedades humanas al sugerir que las prácticas rituales y religiosas pueden haber sido el motor inicial para la creación de asentamientos sedentarios y la agricultura. </w:t>
      </w:r>
      <w:r>
        <w:rPr>
          <w:b w:val="1"/>
          <w:bCs w:val="1"/>
          <w:i w:val="1"/>
          <w:iCs w:val="1"/>
        </w:rPr>
        <w:t xml:space="preserve">“NOCHE DE MESOPOTAMIA”</w:t>
      </w:r>
      <w:r>
        <w:rPr>
          <w:b w:val="1"/>
          <w:bCs w:val="1"/>
          <w:i w:val="1"/>
          <w:iCs w:val="1"/>
        </w:rPr>
        <w:t xml:space="preserve"> </w:t>
      </w:r>
      <w:r>
        <w:rPr/>
        <w:t xml:space="preserve">La noche de Sira es una presentación con la música tradicional de Sanliurfa, que se hace acompañada al sabor de las delicias de la gastronomía local. Una noche llena de sorpresas y diversión a nuestros invitados.</w:t>
      </w:r>
    </w:p>
    <w:p>
      <w:pPr/>
      <w:r>
        <w:rPr/>
        <w:t xml:space="preserve"> </w:t>
      </w:r>
    </w:p>
    <w:p>
      <w:pPr/>
      <w:r>
        <w:rPr>
          <w:b w:val="1"/>
          <w:bCs w:val="1"/>
        </w:rPr>
        <w:t xml:space="preserve">DÍA 06 URFA – HALFETI – ANTEP </w:t>
      </w:r>
    </w:p>
    <w:p>
      <w:pPr/>
      <w:r>
        <w:rPr/>
        <w:t xml:space="preserve">Después del</w:t>
      </w:r>
      <w:r>
        <w:rPr>
          <w:b w:val="1"/>
          <w:bCs w:val="1"/>
        </w:rPr>
        <w:t xml:space="preserve"> Desayuno </w:t>
      </w:r>
      <w:r>
        <w:rPr/>
        <w:t xml:space="preserve">visita a Harran, una de las ciudades más antiguas del mundo donde podremos observar su famosa Universidad, que junto con las ruinas ofrecen una visión fascinante de la antigüedad. En Haram también observaremos las típicas Casas Colmena, su curioso formato cónico, están hechas de ladrillos de barro (para impedir la entrada de calor). Seguimos en camino a Gaziantep. Llegada, </w:t>
      </w:r>
      <w:r>
        <w:rPr>
          <w:b w:val="1"/>
          <w:bCs w:val="1"/>
        </w:rPr>
        <w:t xml:space="preserve">Cena</w:t>
      </w:r>
      <w:r>
        <w:rPr/>
        <w:t xml:space="preserve"> y </w:t>
      </w:r>
      <w:r>
        <w:rPr>
          <w:b w:val="1"/>
          <w:bCs w:val="1"/>
        </w:rPr>
        <w:t xml:space="preserve">Alojamiento.</w:t>
      </w:r>
    </w:p>
    <w:p>
      <w:pPr/>
      <w:r>
        <w:rPr/>
        <w:t xml:space="preserve"> </w:t>
      </w:r>
    </w:p>
    <w:p>
      <w:pPr/>
      <w:r>
        <w:rPr/>
        <w:t xml:space="preserve">En el camino entre Urfa y Antep se puede tomar la excursión opcional</w:t>
      </w:r>
      <w:r>
        <w:rPr>
          <w:b w:val="1"/>
          <w:bCs w:val="1"/>
          <w:i w:val="1"/>
          <w:iCs w:val="1"/>
        </w:rPr>
        <w:t xml:space="preserve"> “CRUCERO EN EL RÍO EUFRATES”:</w:t>
      </w:r>
      <w:r>
        <w:rPr/>
        <w:t xml:space="preserve"> En nuestra ruta, haremos una parada en Halfeti, la región dónde se producen las Rosas Negras (en turco Karagül). Almuerzo. Crucero de barco en el río Eufrates y alrededor de la Antigua fortaleza griega. Ofrece una vista espectacular con sus casas tradicionales de piedra negra, contrastando con el agua cristalina del río y el paisaje verde circundante, creando un escenario pintoresco.</w:t>
      </w:r>
      <w:r>
        <w:rPr>
          <w:b w:val="1"/>
          <w:bCs w:val="1"/>
        </w:rPr>
        <w:t xml:space="preserve"> </w:t>
      </w:r>
    </w:p>
    <w:p>
      <w:pPr/>
      <w:r>
        <w:rPr/>
        <w:t xml:space="preserve"> </w:t>
      </w:r>
    </w:p>
    <w:p>
      <w:pPr/>
      <w:r>
        <w:rPr>
          <w:b w:val="1"/>
          <w:bCs w:val="1"/>
        </w:rPr>
        <w:t xml:space="preserve">DÍA 07 ANTEP – CAPADOCIA </w:t>
      </w:r>
    </w:p>
    <w:p>
      <w:pPr/>
      <w:r>
        <w:rPr>
          <w:b w:val="1"/>
          <w:bCs w:val="1"/>
        </w:rPr>
        <w:t xml:space="preserve">Desayuno. </w:t>
      </w:r>
      <w:r>
        <w:rPr/>
        <w:t xml:space="preserve">Recorrido panorámico por la hermosa vista de la ciudad de Antep, empezando con la ciudadela: caminaremos por las estrechas calles adoquinadas y podremos admirar la arquitectura otomana. Posibilidad de tomar la </w:t>
      </w:r>
      <w:r>
        <w:rPr>
          <w:b w:val="1"/>
          <w:bCs w:val="1"/>
          <w:i w:val="1"/>
          <w:iCs w:val="1"/>
        </w:rPr>
        <w:t xml:space="preserve">excursión opcional “EL LEGADO DE ZEUGMA Y ANTEP”</w:t>
      </w:r>
      <w:r>
        <w:rPr/>
        <w:t xml:space="preserve">: Salida para visitar el Museo de Zeugma, reconocido a nivel mundial por la belleza y el valor histórico de sus mosaicos. El museo está dedicado a preservar y exhibir los mosaicos descubiertos en la antigua ciudad de Zeugma, que fue una importante ciudad romana en el pasado. Estos mosaicos son verdaderas obras de arte, con detalles exquisitos y colores vibrantes que han resistido el paso del tiempo. También tendremos la oportunidad de degustar la famosa baklava; una pasta dulce hecha de capas de filo lleno de nueces picadas y endulzado con jarabe o miel y Bazar de Cobre. Tomamos camino hacia Capadocia. Llegada a hotel</w:t>
      </w:r>
      <w:r>
        <w:rPr>
          <w:b w:val="1"/>
          <w:bCs w:val="1"/>
        </w:rPr>
        <w:t xml:space="preserve"> </w:t>
      </w:r>
      <w:r>
        <w:rPr/>
        <w:t xml:space="preserve">para</w:t>
      </w:r>
      <w:r>
        <w:rPr>
          <w:b w:val="1"/>
          <w:bCs w:val="1"/>
        </w:rPr>
        <w:t xml:space="preserve"> Cena </w:t>
      </w:r>
      <w:r>
        <w:rPr/>
        <w:t xml:space="preserve">y </w:t>
      </w:r>
      <w:r>
        <w:rPr>
          <w:b w:val="1"/>
          <w:bCs w:val="1"/>
        </w:rPr>
        <w:t xml:space="preserve">Alojamiento.</w:t>
      </w:r>
    </w:p>
    <w:p>
      <w:pPr/>
      <w:r>
        <w:rPr/>
        <w:t xml:space="preserve"> </w:t>
      </w:r>
    </w:p>
    <w:p>
      <w:pPr/>
      <w:r>
        <w:rPr>
          <w:b w:val="1"/>
          <w:bCs w:val="1"/>
        </w:rPr>
        <w:t xml:space="preserve">DÍA 08 CAPADOCIA </w:t>
      </w:r>
    </w:p>
    <w:p>
      <w:pPr/>
      <w:r>
        <w:rPr>
          <w:b w:val="1"/>
          <w:bCs w:val="1"/>
        </w:rPr>
        <w:t xml:space="preserve">Desayuno. </w:t>
      </w:r>
      <w:r>
        <w:rPr/>
        <w:t xml:space="preserve">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Visitaremos una ciudad subterránea de Capadocia, una de las muchas obras de ingeniería impresionantes construidas por antiguas comunidades locales para protegerse de los ataques a lo largo de la historia. Al finalizar nuestro recorrido, visitaremos un centro de alfombras para conocer la producción artesanal de estas piezas que son verdaderas tesoros. Luego conoceremos un centro de piedras preciosas y joyas con diseños exclusivos de la región. Regreso al hotel,</w:t>
      </w:r>
      <w:r>
        <w:rPr>
          <w:b w:val="1"/>
          <w:bCs w:val="1"/>
        </w:rPr>
        <w:t xml:space="preserve"> Cena y Alojamiento. </w:t>
      </w:r>
    </w:p>
    <w:p>
      <w:pPr/>
      <w:r>
        <w:rPr/>
        <w:t xml:space="preserve"> </w:t>
      </w:r>
    </w:p>
    <w:p>
      <w:pPr/>
      <w:r>
        <w:rPr/>
        <w:t xml:space="preserve">Programas opcionales en Capadocia: “</w:t>
      </w:r>
      <w:r>
        <w:rPr>
          <w:b w:val="1"/>
          <w:bCs w:val="1"/>
        </w:rPr>
        <w:t xml:space="preserve">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w:t>
      </w:r>
      <w:r>
        <w:rPr>
          <w:b w:val="1"/>
          <w:bCs w:val="1"/>
        </w:rPr>
        <w:t xml:space="preserve">PASEO EN GLOBO</w:t>
      </w:r>
      <w:r>
        <w:rPr/>
        <w:t xml:space="preserve">” temprano por la mañana para admirar uno de los más bellos paisajes de la tierra.</w:t>
      </w:r>
    </w:p>
    <w:p>
      <w:pPr/>
      <w:r>
        <w:rPr/>
        <w:t xml:space="preserve"> </w:t>
      </w:r>
    </w:p>
    <w:p>
      <w:pPr/>
      <w:r>
        <w:rPr>
          <w:b w:val="1"/>
          <w:bCs w:val="1"/>
        </w:rPr>
        <w:t xml:space="preserve">DÍA 09 CAPADOCIA – ANKARA – ESTMBUL   </w:t>
      </w:r>
    </w:p>
    <w:p>
      <w:pPr/>
      <w:r>
        <w:rPr>
          <w:b w:val="1"/>
          <w:bCs w:val="1"/>
        </w:rPr>
        <w:t xml:space="preserve">Desayuno. </w:t>
      </w:r>
      <w:r>
        <w:rPr/>
        <w:t xml:space="preserve">Salida para Ankara para la visita del Anitkabir al Mausoleo de Ataturk, fundador de la República turca El Mausoleo es un lugar de gran importancia histórica y emocional en Ankara. Este impresionante monumento es el lugar de descanso final del líder turco, Mustafa Kemal Ataturk, quien fue el fundador y primer presidente de la República de Turquía. Continuamos hacia </w:t>
      </w:r>
      <w:r>
        <w:rPr>
          <w:b w:val="1"/>
          <w:bCs w:val="1"/>
        </w:rPr>
        <w:t xml:space="preserve">Estambul.</w:t>
      </w:r>
    </w:p>
    <w:p>
      <w:pPr/>
      <w:r>
        <w:rPr/>
        <w:t xml:space="preserve"> </w:t>
      </w:r>
    </w:p>
    <w:p>
      <w:pPr/>
      <w:r>
        <w:rPr>
          <w:b w:val="1"/>
          <w:bCs w:val="1"/>
        </w:rPr>
        <w:t xml:space="preserve">DÍA 10 ESTAMBUL </w:t>
      </w:r>
    </w:p>
    <w:p>
      <w:pPr/>
      <w:r>
        <w:rPr>
          <w:b w:val="1"/>
          <w:bCs w:val="1"/>
        </w:rPr>
        <w:t xml:space="preserve">Desayuno. </w:t>
      </w:r>
      <w:r>
        <w:rPr/>
        <w:t xml:space="preserve">Día libre. Posibilidad de tomar la Excursión opcional</w:t>
      </w:r>
      <w:r>
        <w:rPr>
          <w:b w:val="1"/>
          <w:bCs w:val="1"/>
          <w:i w:val="1"/>
          <w:iCs w:val="1"/>
        </w:rPr>
        <w:t xml:space="preserve"> “JOYAS DE CONSTANTINOPLA” </w:t>
      </w:r>
      <w:r>
        <w:rPr/>
        <w:t xml:space="preserve">(incluye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w:t>
      </w:r>
      <w:r>
        <w:rPr>
          <w:b w:val="1"/>
          <w:bCs w:val="1"/>
        </w:rPr>
        <w:t xml:space="preserve">Alojamiento.</w:t>
      </w:r>
    </w:p>
    <w:p>
      <w:pPr/>
      <w:r>
        <w:rPr/>
        <w:t xml:space="preserve"> </w:t>
      </w:r>
    </w:p>
    <w:p>
      <w:pPr/>
      <w:r>
        <w:rPr>
          <w:i w:val="1"/>
          <w:iCs w:val="1"/>
        </w:rPr>
        <w:t xml:space="preserve">**Si desea realizar el ingreso al Palacio de Topkapi y Santa Sofia se debe agregar adicional al precio de la excursión 60 USD netos por persona.</w:t>
      </w:r>
    </w:p>
    <w:p>
      <w:pPr/>
      <w:r>
        <w:rPr/>
        <w:t xml:space="preserve"> </w:t>
      </w:r>
    </w:p>
    <w:p>
      <w:pPr/>
      <w:r>
        <w:rPr/>
        <w:t xml:space="preserve">Durante la tarde tendremos la oportunidad de realizar un</w:t>
      </w:r>
      <w:r>
        <w:rPr>
          <w:b w:val="1"/>
          <w:bCs w:val="1"/>
        </w:rPr>
        <w:t xml:space="preserve"> </w:t>
      </w:r>
      <w:r>
        <w:rPr/>
        <w:t xml:space="preserve">opcional especial</w:t>
      </w:r>
      <w:r>
        <w:rPr>
          <w:b w:val="1"/>
          <w:bCs w:val="1"/>
        </w:rPr>
        <w:t xml:space="preserve"> “LA GASTRONOMÍA CALLEJERA ESTAMBULITA”: </w:t>
      </w:r>
      <w:r>
        <w:rPr/>
        <w:t xml:space="preserve">Este recorrido gastronómico es una experiencia única caminando por las calles de la región más histórica de Estambul en el corazón de la antigua Constantinopla que invita a los comensales a saborear una selección de bocados típicos y tradicionales. Con este tour gastronómico, visitaremos los tesoros escondidos del sabor Estambulita a través de una combinación de texturas y presentaciones artísticas, los participantes tienen la oportunidad de explorar y apreciar la diversidad gastronómica, mientras disfrutan de un festín para los sentidos. Es una oportunidad para descubrir nuevos sabores, ingredientes y técnicas culinarias, apreciar el arte y la pasión que se esconde detrás de cada plato. Una degustación de comida es un viaje de descubrimiento, una aventura gastronómica que deleita el paladar y crea recuerdos memorables.</w:t>
      </w:r>
    </w:p>
    <w:p>
      <w:pPr/>
      <w:r>
        <w:rPr/>
        <w:t xml:space="preserve"> </w:t>
      </w:r>
    </w:p>
    <w:p>
      <w:pPr/>
      <w:r>
        <w:rPr>
          <w:b w:val="1"/>
          <w:bCs w:val="1"/>
        </w:rPr>
        <w:t xml:space="preserve">DÍA 11 ESTAMBUL</w:t>
      </w:r>
    </w:p>
    <w:p>
      <w:pPr/>
      <w:r>
        <w:rPr>
          <w:b w:val="1"/>
          <w:bCs w:val="1"/>
        </w:rPr>
        <w:t xml:space="preserve">Desayuno. </w:t>
      </w:r>
      <w:r>
        <w:rPr/>
        <w:t xml:space="preserve">Traslado al Aeropuerto (IST) y vuelo de regreso.                                                      </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r>
              <w:rPr>
                <w:color w:val="ffffff"/>
                <w:sz w:val="21"/>
                <w:szCs w:val="21"/>
                <w:b w:val="1"/>
                <w:bCs w:val="1"/>
                <w:shd w:val="clear" w:fill="152441"/>
              </w:rPr>
              <w:t xml:space="preserve">DOMINGOS LLEGANDO A ESTAMBUL</w:t>
            </w:r>
          </w:p>
        </w:tc>
      </w:tr>
      <w:tr>
        <w:trPr/>
        <w:tc>
          <w:tcPr>
            <w:tcW w:w="7800" w:type="dxa"/>
            <w:noWrap/>
          </w:tcPr>
          <w:p>
            <w:pPr/>
            <w:r>
              <w:rPr/>
              <w:t xml:space="preserve">Abril</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Mayo</w:t>
            </w:r>
          </w:p>
        </w:tc>
        <w:tc>
          <w:tcPr>
            <w:tcW w:w="7800" w:type="dxa"/>
            <w:noWrap/>
          </w:tcPr>
          <w:p>
            <w:pPr/>
            <w:r>
              <w:rPr/>
              <w:t xml:space="preserve">2024</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Junio</w:t>
            </w:r>
          </w:p>
        </w:tc>
        <w:tc>
          <w:tcPr>
            <w:tcW w:w="7800" w:type="dxa"/>
            <w:noWrap/>
          </w:tcPr>
          <w:p>
            <w:pPr/>
            <w:r>
              <w:rPr/>
              <w:t xml:space="preserve">2024</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noWrap/>
          </w:tcPr>
          <w:p>
            <w:pPr/>
            <w:r>
              <w:rPr/>
              <w:t xml:space="preserve">Julio</w:t>
            </w:r>
          </w:p>
        </w:tc>
        <w:tc>
          <w:tcPr>
            <w:tcW w:w="7800" w:type="dxa"/>
            <w:noWrap/>
          </w:tcPr>
          <w:p>
            <w:pPr/>
            <w:r>
              <w:rPr/>
              <w:t xml:space="preserve">2024</w:t>
            </w:r>
          </w:p>
        </w:tc>
        <w:tc>
          <w:tcPr>
            <w:tcW w:w="7800" w:type="dxa"/>
            <w:noWrap/>
          </w:tcPr>
          <w:p>
            <w:pPr/>
            <w:r>
              <w:rPr/>
              <w:t xml:space="preserve">07</w:t>
            </w:r>
          </w:p>
        </w:tc>
        <w:tc>
          <w:tcPr>
            <w:tcW w:w="7800" w:type="dxa"/>
            <w:noWrap/>
          </w:tcPr>
          <w:p>
            <w:pPr/>
            <w:r>
              <w:rPr/>
              <w:t xml:space="preserve">14*</w:t>
            </w:r>
          </w:p>
        </w:tc>
        <w:tc>
          <w:tcPr>
            <w:tcW w:w="7800" w:type="dxa"/>
            <w:noWrap/>
          </w:tcPr>
          <w:p>
            <w:pPr/>
            <w:r>
              <w:rPr/>
              <w:t xml:space="preserve">21</w:t>
            </w:r>
          </w:p>
        </w:tc>
        <w:tc>
          <w:tcPr>
            <w:tcW w:w="7800" w:type="dxa"/>
            <w:noWrap/>
          </w:tcPr>
          <w:p>
            <w:pPr/>
            <w:r>
              <w:rPr/>
              <w:t xml:space="preserve">28</w:t>
            </w:r>
          </w:p>
        </w:tc>
        <w:tc>
          <w:tcPr>
            <w:tcW w:w="7800" w:type="dxa"/>
            <w:noWrap/>
          </w:tcPr>
          <w:p>
            <w:pPr/>
            <w:r>
              <w:rPr/>
              <w:t xml:space="preserve">-</w:t>
            </w:r>
          </w:p>
        </w:tc>
      </w:tr>
      <w:tr>
        <w:trPr/>
        <w:tc>
          <w:tcPr>
            <w:tcW w:w="7800" w:type="dxa"/>
            <w:noWrap/>
          </w:tcPr>
          <w:p>
            <w:pPr/>
            <w:r>
              <w:rPr/>
              <w:t xml:space="preserve">Agosto</w:t>
            </w:r>
          </w:p>
        </w:tc>
        <w:tc>
          <w:tcPr>
            <w:tcW w:w="7800" w:type="dxa"/>
            <w:noWrap/>
          </w:tcPr>
          <w:p>
            <w:pPr/>
            <w:r>
              <w:rPr/>
              <w:t xml:space="preserve">2024</w:t>
            </w:r>
          </w:p>
        </w:tc>
        <w:tc>
          <w:tcPr>
            <w:tcW w:w="7800" w:type="dxa"/>
            <w:noWrap/>
          </w:tcPr>
          <w:p>
            <w:pPr/>
            <w:r>
              <w:rPr/>
              <w:t xml:space="preserve">04</w:t>
            </w:r>
          </w:p>
        </w:tc>
        <w:tc>
          <w:tcPr>
            <w:tcW w:w="7800" w:type="dxa"/>
            <w:noWrap/>
          </w:tcPr>
          <w:p>
            <w:pPr/>
            <w:r>
              <w:rPr/>
              <w:t xml:space="preserve">11</w:t>
            </w:r>
          </w:p>
        </w:tc>
        <w:tc>
          <w:tcPr>
            <w:tcW w:w="7800" w:type="dxa"/>
            <w:noWrap/>
          </w:tcPr>
          <w:p>
            <w:pPr/>
            <w:r>
              <w:rPr/>
              <w:t xml:space="preserve">18</w:t>
            </w:r>
          </w:p>
        </w:tc>
        <w:tc>
          <w:tcPr>
            <w:tcW w:w="7800" w:type="dxa"/>
            <w:noWrap/>
          </w:tcPr>
          <w:p>
            <w:pPr/>
            <w:r>
              <w:rPr/>
              <w:t xml:space="preserve">25*</w:t>
            </w:r>
          </w:p>
        </w:tc>
        <w:tc>
          <w:tcPr>
            <w:tcW w:w="7800" w:type="dxa"/>
            <w:noWrap/>
          </w:tcPr>
          <w:p>
            <w:pPr/>
            <w:r>
              <w:rPr/>
              <w:t xml:space="preserve">-</w:t>
            </w:r>
          </w:p>
        </w:tc>
      </w:tr>
      <w:tr>
        <w:trPr/>
        <w:tc>
          <w:tcPr>
            <w:tcW w:w="7800" w:type="dxa"/>
            <w:noWrap/>
          </w:tcPr>
          <w:p>
            <w:pPr/>
            <w:r>
              <w:rPr/>
              <w:t xml:space="preserve">Septiembre</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Octubre</w:t>
            </w:r>
          </w:p>
        </w:tc>
        <w:tc>
          <w:tcPr>
            <w:tcW w:w="7800" w:type="dxa"/>
            <w:noWrap/>
          </w:tcPr>
          <w:p>
            <w:pPr/>
            <w:r>
              <w:rPr/>
              <w:t xml:space="preserve">2024</w:t>
            </w:r>
          </w:p>
        </w:tc>
        <w:tc>
          <w:tcPr>
            <w:tcW w:w="7800" w:type="dxa"/>
            <w:noWrap/>
          </w:tcPr>
          <w:p>
            <w:pPr/>
            <w:r>
              <w:rPr/>
              <w:t xml:space="preserve">06</w:t>
            </w:r>
          </w:p>
        </w:tc>
        <w:tc>
          <w:tcPr>
            <w:tcW w:w="7800" w:type="dxa"/>
            <w:noWrap/>
          </w:tcPr>
          <w:p>
            <w:pPr/>
            <w:r>
              <w:rPr/>
              <w:t xml:space="preserve">13</w:t>
            </w:r>
          </w:p>
        </w:tc>
        <w:tc>
          <w:tcPr>
            <w:tcW w:w="7800" w:type="dxa"/>
            <w:noWrap/>
          </w:tcPr>
          <w:p>
            <w:pPr/>
            <w:r>
              <w:rPr/>
              <w:t xml:space="preserve">20*</w:t>
            </w:r>
          </w:p>
        </w:tc>
        <w:tc>
          <w:tcPr>
            <w:tcW w:w="7800" w:type="dxa"/>
            <w:noWrap/>
          </w:tcPr>
          <w:p>
            <w:pPr/>
            <w:r>
              <w:rPr/>
              <w:t xml:space="preserve">27*</w:t>
            </w:r>
          </w:p>
        </w:tc>
        <w:tc>
          <w:tcPr>
            <w:tcW w:w="7800" w:type="dxa"/>
            <w:noWrap/>
          </w:tcPr>
          <w:p>
            <w:pPr/>
            <w:r>
              <w:rPr/>
              <w:t xml:space="preserve">-</w:t>
            </w:r>
          </w:p>
        </w:tc>
      </w:tr>
      <w:tr>
        <w:trPr/>
        <w:tc>
          <w:tcPr>
            <w:tcW w:w="7800" w:type="dxa"/>
            <w:noWrap/>
          </w:tcPr>
          <w:p>
            <w:pPr/>
            <w:r>
              <w:rPr/>
              <w:t xml:space="preserve">Noviembre</w:t>
            </w:r>
          </w:p>
        </w:tc>
        <w:tc>
          <w:tcPr>
            <w:tcW w:w="7800" w:type="dxa"/>
            <w:noWrap/>
          </w:tcPr>
          <w:p>
            <w:pPr/>
            <w:r>
              <w:rPr/>
              <w:t xml:space="preserve">2024</w:t>
            </w:r>
          </w:p>
        </w:tc>
        <w:tc>
          <w:tcPr>
            <w:tcW w:w="7800" w:type="dxa"/>
            <w:noWrap/>
          </w:tcPr>
          <w:p>
            <w:pPr/>
            <w:r>
              <w:rPr/>
              <w:t xml:space="preserve">03</w:t>
            </w:r>
          </w:p>
        </w:tc>
        <w:tc>
          <w:tcPr>
            <w:tcW w:w="7800" w:type="dxa"/>
            <w:noWrap/>
          </w:tcPr>
          <w:p>
            <w:pPr/>
            <w:r>
              <w:rPr/>
              <w:t xml:space="preserve">10</w:t>
            </w:r>
          </w:p>
        </w:tc>
        <w:tc>
          <w:tcPr>
            <w:tcW w:w="7800" w:type="dxa"/>
            <w:noWrap/>
          </w:tcPr>
          <w:p>
            <w:pPr/>
            <w:r>
              <w:rPr/>
              <w:t xml:space="preserve">17</w:t>
            </w:r>
          </w:p>
        </w:tc>
        <w:tc>
          <w:tcPr>
            <w:tcW w:w="7800" w:type="dxa"/>
            <w:noWrap/>
          </w:tcPr>
          <w:p>
            <w:pPr/>
            <w:r>
              <w:rPr/>
              <w:t xml:space="preserve">24</w:t>
            </w:r>
          </w:p>
        </w:tc>
        <w:tc>
          <w:tcPr>
            <w:tcW w:w="7800" w:type="dxa"/>
            <w:noWrap/>
          </w:tcPr>
          <w:p>
            <w:pPr/>
            <w:r>
              <w:rPr/>
              <w:t xml:space="preserve">-</w:t>
            </w:r>
          </w:p>
        </w:tc>
      </w:tr>
      <w:tr>
        <w:trPr/>
        <w:tc>
          <w:tcPr>
            <w:tcW w:w="7800" w:type="dxa"/>
            <w:noWrap/>
          </w:tcPr>
          <w:p>
            <w:pPr/>
            <w:r>
              <w:rPr/>
              <w:t xml:space="preserve">Diciembre</w:t>
            </w:r>
          </w:p>
        </w:tc>
        <w:tc>
          <w:tcPr>
            <w:tcW w:w="7800" w:type="dxa"/>
            <w:noWrap/>
          </w:tcPr>
          <w:p>
            <w:pPr/>
            <w:r>
              <w:rPr/>
              <w:t xml:space="preserve">2024</w:t>
            </w:r>
          </w:p>
        </w:tc>
        <w:tc>
          <w:tcPr>
            <w:tcW w:w="7800" w:type="dxa"/>
            <w:noWrap/>
          </w:tcPr>
          <w:p>
            <w:pPr/>
            <w:r>
              <w:rPr/>
              <w:t xml:space="preserve">01</w:t>
            </w:r>
          </w:p>
        </w:tc>
        <w:tc>
          <w:tcPr>
            <w:tcW w:w="7800" w:type="dxa"/>
            <w:noWrap/>
          </w:tcPr>
          <w:p>
            <w:pPr/>
            <w:r>
              <w:rPr/>
              <w:t xml:space="preserve">08</w:t>
            </w:r>
          </w:p>
        </w:tc>
        <w:tc>
          <w:tcPr>
            <w:tcW w:w="7800" w:type="dxa"/>
            <w:noWrap/>
          </w:tcPr>
          <w:p>
            <w:pPr/>
            <w:r>
              <w:rPr/>
              <w:t xml:space="preserve">15</w:t>
            </w:r>
          </w:p>
        </w:tc>
        <w:tc>
          <w:tcPr>
            <w:tcW w:w="7800" w:type="dxa"/>
            <w:noWrap/>
          </w:tcPr>
          <w:p>
            <w:pPr/>
            <w:r>
              <w:rPr/>
              <w:t xml:space="preserve">22</w:t>
            </w:r>
          </w:p>
        </w:tc>
        <w:tc>
          <w:tcPr>
            <w:tcW w:w="7800" w:type="dxa"/>
            <w:noWrap/>
          </w:tcPr>
          <w:p>
            <w:pPr/>
            <w:r>
              <w:rPr/>
              <w:t xml:space="preserve">29</w:t>
            </w:r>
          </w:p>
        </w:tc>
      </w:tr>
      <w:tr>
        <w:trPr/>
        <w:tc>
          <w:tcPr>
            <w:tcW w:w="7800" w:type="dxa"/>
            <w:noWrap/>
          </w:tcPr>
          <w:p>
            <w:pPr/>
            <w:r>
              <w:rPr/>
              <w:t xml:space="preserve">Enero</w:t>
            </w:r>
          </w:p>
        </w:tc>
        <w:tc>
          <w:tcPr>
            <w:tcW w:w="7800" w:type="dxa"/>
            <w:noWrap/>
          </w:tcPr>
          <w:p>
            <w:pPr/>
            <w:r>
              <w:rPr/>
              <w:t xml:space="preserve">2025</w:t>
            </w:r>
          </w:p>
        </w:tc>
        <w:tc>
          <w:tcPr>
            <w:tcW w:w="7800" w:type="dxa"/>
            <w:noWrap/>
          </w:tcPr>
          <w:p>
            <w:pPr/>
            <w:r>
              <w:rPr/>
              <w:t xml:space="preserve">05</w:t>
            </w:r>
          </w:p>
        </w:tc>
        <w:tc>
          <w:tcPr>
            <w:tcW w:w="7800" w:type="dxa"/>
            <w:noWrap/>
          </w:tcPr>
          <w:p>
            <w:pPr/>
            <w:r>
              <w:rPr/>
              <w:t xml:space="preserve">12</w:t>
            </w:r>
          </w:p>
        </w:tc>
        <w:tc>
          <w:tcPr>
            <w:tcW w:w="7800" w:type="dxa"/>
            <w:noWrap/>
          </w:tcPr>
          <w:p>
            <w:pPr/>
            <w:r>
              <w:rPr/>
              <w:t xml:space="preserve">19</w:t>
            </w:r>
          </w:p>
        </w:tc>
        <w:tc>
          <w:tcPr>
            <w:tcW w:w="7800" w:type="dxa"/>
            <w:noWrap/>
          </w:tcPr>
          <w:p>
            <w:pPr/>
            <w:r>
              <w:rPr/>
              <w:t xml:space="preserve">26</w:t>
            </w:r>
          </w:p>
        </w:tc>
        <w:tc>
          <w:tcPr>
            <w:tcW w:w="7800" w:type="dxa"/>
            <w:noWrap/>
          </w:tcPr>
          <w:p>
            <w:pPr/>
            <w:r>
              <w:rPr/>
              <w:t xml:space="preserve">-</w:t>
            </w:r>
          </w:p>
        </w:tc>
      </w:tr>
      <w:tr>
        <w:trPr/>
        <w:tc>
          <w:tcPr>
            <w:tcW w:w="7800" w:type="dxa"/>
            <w:noWrap/>
          </w:tcPr>
          <w:p>
            <w:pPr/>
            <w:r>
              <w:rPr/>
              <w:t xml:space="preserve">Febrero</w:t>
            </w:r>
          </w:p>
        </w:tc>
        <w:tc>
          <w:tcPr>
            <w:tcW w:w="7800" w:type="dxa"/>
            <w:noWrap/>
          </w:tcPr>
          <w:p>
            <w:pPr/>
            <w:r>
              <w:rPr/>
              <w:t xml:space="preserve">2025</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w:t>
            </w:r>
          </w:p>
        </w:tc>
      </w:tr>
      <w:tr>
        <w:trPr/>
        <w:tc>
          <w:tcPr>
            <w:tcW w:w="7800" w:type="dxa"/>
            <w:noWrap/>
          </w:tcPr>
          <w:p>
            <w:pPr/>
            <w:r>
              <w:rPr/>
              <w:t xml:space="preserve">Marzo</w:t>
            </w:r>
          </w:p>
        </w:tc>
        <w:tc>
          <w:tcPr>
            <w:tcW w:w="7800" w:type="dxa"/>
            <w:noWrap/>
          </w:tcPr>
          <w:p>
            <w:pPr/>
            <w:r>
              <w:rPr/>
              <w:t xml:space="preserve">2025</w:t>
            </w:r>
          </w:p>
        </w:tc>
        <w:tc>
          <w:tcPr>
            <w:tcW w:w="7800" w:type="dxa"/>
            <w:noWrap/>
          </w:tcPr>
          <w:p>
            <w:pPr/>
            <w:r>
              <w:rPr/>
              <w:t xml:space="preserve">02</w:t>
            </w:r>
          </w:p>
        </w:tc>
        <w:tc>
          <w:tcPr>
            <w:tcW w:w="7800" w:type="dxa"/>
            <w:noWrap/>
          </w:tcPr>
          <w:p>
            <w:pPr/>
            <w:r>
              <w:rPr/>
              <w:t xml:space="preserve">09</w:t>
            </w:r>
          </w:p>
        </w:tc>
        <w:tc>
          <w:tcPr>
            <w:tcW w:w="7800" w:type="dxa"/>
            <w:noWrap/>
          </w:tcPr>
          <w:p>
            <w:pPr/>
            <w:r>
              <w:rPr/>
              <w:t xml:space="preserve">16</w:t>
            </w:r>
          </w:p>
        </w:tc>
        <w:tc>
          <w:tcPr>
            <w:tcW w:w="7800" w:type="dxa"/>
            <w:noWrap/>
          </w:tcPr>
          <w:p>
            <w:pPr/>
            <w:r>
              <w:rPr/>
              <w:t xml:space="preserve">23</w:t>
            </w:r>
          </w:p>
        </w:tc>
        <w:tc>
          <w:tcPr>
            <w:tcW w:w="7800" w:type="dxa"/>
            <w:noWrap/>
          </w:tcPr>
          <w:p>
            <w:pPr/>
            <w:r>
              <w:rPr/>
              <w:t xml:space="preserve">30</w:t>
            </w:r>
          </w:p>
        </w:tc>
      </w:tr>
      <w:tr>
        <w:trPr/>
        <w:tc>
          <w:tcPr>
            <w:tcW w:w="7800" w:type="dxa"/>
            <w:gridSpan w:val="7"/>
            <w:noWrap/>
          </w:tcPr>
          <w:p>
            <w:pPr/>
            <w:r>
              <w:rPr/>
              <w:t xml:space="preserve">*Fechas que podrán tener el itinerario cambiado debido a los festivos locales.</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r>
              <w:rPr>
                <w:b w:val="1"/>
                <w:bCs w:val="1"/>
              </w:rPr>
              <w:t xml:space="preserve">PRECIOS EN DOLARES AMERICANOS POR PERSONA </w:t>
            </w:r>
            <w:r>
              <w:rPr/>
              <w:t xml:space="preserve"> SUJETOS A CAMBIOS SIN PREVIO AVISO Y DISPONIBILIDAD AL MOMENTO DE LA RESERVA, </w:t>
            </w:r>
            <w:r>
              <w:rPr>
                <w:b w:val="1"/>
                <w:bCs w:val="1"/>
              </w:rPr>
              <w:t xml:space="preserve">PRECIO BASE A PARTIR DE DOS PASAJEROS</w:t>
            </w:r>
          </w:p>
        </w:tc>
      </w:tr>
      <w:tr>
        <w:trPr/>
        <w:tc>
          <w:tcPr>
            <w:tcW w:w="7800" w:type="dxa"/>
            <w:noWrap/>
          </w:tcPr>
          <w:p>
            <w:pPr/>
            <w:r>
              <w:rPr>
                <w:b w:val="1"/>
                <w:bCs w:val="1"/>
              </w:rPr>
              <w:t xml:space="preserve">CATEGORÍA</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r>
      <w:tr>
        <w:trPr/>
        <w:tc>
          <w:tcPr>
            <w:tcW w:w="7800" w:type="dxa"/>
            <w:noWrap/>
          </w:tcPr>
          <w:p>
            <w:pPr/>
            <w:r>
              <w:rPr/>
              <w:t xml:space="preserve">PLATINO</w:t>
            </w:r>
          </w:p>
        </w:tc>
        <w:tc>
          <w:tcPr>
            <w:tcW w:w="7800" w:type="dxa"/>
            <w:noWrap/>
          </w:tcPr>
          <w:p>
            <w:pPr/>
            <w:r>
              <w:rPr/>
              <w:t xml:space="preserve">USD 499</w:t>
            </w:r>
          </w:p>
        </w:tc>
        <w:tc>
          <w:tcPr>
            <w:tcW w:w="7800" w:type="dxa"/>
            <w:noWrap/>
          </w:tcPr>
          <w:p>
            <w:pPr/>
            <w:r>
              <w:rPr/>
              <w:t xml:space="preserve">USD 499</w:t>
            </w:r>
          </w:p>
        </w:tc>
        <w:tc>
          <w:tcPr>
            <w:tcW w:w="7800" w:type="dxa"/>
            <w:noWrap/>
          </w:tcPr>
          <w:p>
            <w:pPr/>
            <w:r>
              <w:rPr/>
              <w:t xml:space="preserve">USD 799</w:t>
            </w:r>
          </w:p>
        </w:tc>
      </w:tr>
      <w:tr>
        <w:trPr/>
        <w:tc>
          <w:tcPr>
            <w:tcW w:w="7800" w:type="dxa"/>
            <w:noWrap/>
          </w:tcPr>
          <w:p>
            <w:pPr/>
            <w:r>
              <w:rPr/>
              <w:t xml:space="preserve">ORO</w:t>
            </w:r>
          </w:p>
        </w:tc>
        <w:tc>
          <w:tcPr>
            <w:tcW w:w="7800" w:type="dxa"/>
            <w:noWrap/>
          </w:tcPr>
          <w:p>
            <w:pPr/>
            <w:r>
              <w:rPr/>
              <w:t xml:space="preserve">USD 599</w:t>
            </w:r>
          </w:p>
        </w:tc>
        <w:tc>
          <w:tcPr>
            <w:tcW w:w="7800" w:type="dxa"/>
            <w:noWrap/>
          </w:tcPr>
          <w:p>
            <w:pPr/>
            <w:r>
              <w:rPr/>
              <w:t xml:space="preserve">USD 599</w:t>
            </w:r>
          </w:p>
        </w:tc>
        <w:tc>
          <w:tcPr>
            <w:tcW w:w="7800" w:type="dxa"/>
            <w:noWrap/>
          </w:tcPr>
          <w:p>
            <w:pPr/>
            <w:r>
              <w:rPr/>
              <w:t xml:space="preserve">USD 999</w:t>
            </w:r>
          </w:p>
        </w:tc>
      </w:tr>
      <w:tr>
        <w:trPr/>
        <w:tc>
          <w:tcPr>
            <w:tcW w:w="7800" w:type="dxa"/>
            <w:gridSpan w:val="4"/>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4"/>
            <w:noWrap/>
          </w:tcPr>
          <w:p>
            <w:pPr>
              <w:jc w:val="start"/>
            </w:pPr>
            <w:r>
              <w:rPr/>
              <w:t xml:space="preserve">			</w:t>
            </w:r>
          </w:p>
          <w:p>
            <w:pPr>
              <w:jc w:val="start"/>
              <w:spacing w:before="0" w:after="0"/>
            </w:pPr>
            <w:r>
              <w:rPr/>
              <w:t xml:space="preserve">*La acomodación en triple será c/ la adición de una cama extra portable una vez que los hoteles no suelen tener habitaciones con 3 camas en Turquía.</w:t>
            </w:r>
          </w:p>
          <w:p>
            <w:pPr>
              <w:jc w:val="start"/>
            </w:pPr>
            <w:r>
              <w:rPr/>
              <w:t xml:space="preserve">			</w:t>
            </w:r>
          </w:p>
          <w:p>
            <w:pPr>
              <w:jc w:val="start"/>
              <w:spacing w:before="0" w:after="0"/>
            </w:pPr>
            <w:r>
              <w:rPr>
                <w:b w:val="1"/>
                <w:bCs w:val="1"/>
              </w:rPr>
              <w:t xml:space="preserve">*</w:t>
            </w:r>
            <w:r>
              <w:rPr/>
              <w:t xml:space="preserve">En caso de no recibir los datos de vuelo de llegada o salida hasta 07 días antes del tour no se podrá garantizar el servicio de traslados.</w:t>
            </w:r>
          </w:p>
          <w:p>
            <w:pPr>
              <w:jc w:val="start"/>
            </w:pPr>
            <w:r>
              <w:rPr/>
              <w:t xml:space="preserve">			</w:t>
            </w:r>
          </w:p>
          <w:p>
            <w:pPr>
              <w:jc w:val="start"/>
              <w:spacing w:before="0" w:after="0"/>
            </w:pPr>
            <w:r>
              <w:rPr/>
              <w:t xml:space="preserve">*Se requiere recibir datos de pasaportes hasta 25 días antes de la llegada no se podrá garantizar disponibilidad en el tramo de tren o vuelo y estará sujeto al cobro de suplementos.</w:t>
            </w:r>
          </w:p>
          <w:p>
            <w:pPr>
              <w:jc w:val="start"/>
            </w:pPr>
            <w:r>
              <w:rPr/>
              <w:t xml:space="preserve">			</w:t>
            </w:r>
          </w:p>
          <w:p>
            <w:pPr>
              <w:jc w:val="start"/>
              <w:spacing w:before="0" w:after="0"/>
            </w:pPr>
            <w:r>
              <w:rPr/>
              <w:t xml:space="preserve">*Para las salidas que tengan la noche del 31 de diciembre se aplica suplemento para la cena de año nuevo de 185 USD por persona.</w:t>
            </w:r>
          </w:p>
          <w:p>
            <w:pPr>
              <w:jc w:val="start"/>
            </w:pPr>
            <w:r>
              <w:rPr/>
              <w:t xml:space="preserve">			</w:t>
            </w:r>
          </w:p>
        </w:tc>
      </w:tr>
      <w:tr>
        <w:trPr/>
        <w:tc>
          <w:tcPr>
            <w:tcW w:w="7800" w:type="dxa"/>
            <w:gridSpan w:val="4"/>
            <w:noWrap/>
          </w:tcPr>
          <w:p>
            <w:pPr/>
            <w:r>
              <w:rPr/>
              <w:t xml:space="preserve">Para llegadas y/o salidas diferentes a las previstas en el tour, los traslados no están incluidos en el valor del paquete. Lo mismo ocurre con noche(s) extra(s). En ambos casos, para mayor comodidad de los pasajeros, podrán ser contratados el transfer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pPr>
            <w:r>
              <w:rPr/>
              <w:t xml:space="preserve">			</w:t>
            </w:r>
          </w:p>
          <w:p>
            <w:pPr>
              <w:jc w:val="start"/>
              <w:spacing w:before="0" w:after="0"/>
            </w:pPr>
            <w:r>
              <w:rPr>
                <w:b w:val="1"/>
                <w:bCs w:val="1"/>
              </w:rPr>
              <w:t xml:space="preserve">TARIFA DE NIÑOS:</w:t>
            </w:r>
            <w:r>
              <w:rPr/>
              <w:t xml:space="preserve"> Niños compartiendo en la misma habitación con sus padres sin cama adicional (máximo dos adultos + un niño)</w:t>
            </w:r>
          </w:p>
          <w:p>
            <w:pPr>
              <w:jc w:val="start"/>
            </w:pPr>
            <w:r>
              <w:rPr/>
              <w:t xml:space="preserve">			</w:t>
            </w:r>
          </w:p>
          <w:p>
            <w:pPr>
              <w:jc w:val="start"/>
            </w:pPr>
            <w:r>
              <w:rPr/>
              <w:t xml:space="preserve">				</w:t>
            </w:r>
          </w:p>
          <w:p>
            <w:pPr>
              <w:numPr>
                <w:ilvl w:val="0"/>
                <w:numId w:val="1"/>
              </w:numPr>
            </w:pPr>
            <w:r>
              <w:rPr/>
              <w:t xml:space="preserve">0 – 1,99 años, gratis.</w:t>
            </w:r>
          </w:p>
          <w:p>
            <w:pPr>
              <w:jc w:val="start"/>
            </w:pPr>
            <w:r>
              <w:rPr/>
              <w:t xml:space="preserve">				</w:t>
            </w:r>
          </w:p>
          <w:p>
            <w:pPr>
              <w:numPr>
                <w:ilvl w:val="0"/>
                <w:numId w:val="1"/>
              </w:numPr>
            </w:pPr>
            <w:r>
              <w:rPr/>
              <w:t xml:space="preserve">2 – 5,99 años, descuento 50% con cama extra, según disponibilidad del hotel.</w:t>
            </w:r>
          </w:p>
          <w:p>
            <w:pPr>
              <w:jc w:val="start"/>
            </w:pPr>
            <w:r>
              <w:rPr/>
              <w:t xml:space="preserve">				</w:t>
            </w:r>
          </w:p>
          <w:p>
            <w:pPr>
              <w:numPr>
                <w:ilvl w:val="0"/>
                <w:numId w:val="1"/>
              </w:numPr>
            </w:pPr>
            <w:r>
              <w:rPr/>
              <w:t xml:space="preserve">6 – 11,99 años, descuento 25%, con cama extra.</w:t>
            </w:r>
          </w:p>
          <w:p>
            <w:pPr>
              <w:jc w:val="start"/>
            </w:pPr>
            <w:r>
              <w:rPr/>
              <w:t xml:space="preserve">			</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CATEGORÍA</w:t>
            </w:r>
          </w:p>
        </w:tc>
      </w:tr>
      <w:tr>
        <w:trPr/>
        <w:tc>
          <w:tcPr>
            <w:tcW w:w="7800" w:type="dxa"/>
            <w:noWrap/>
          </w:tcPr>
          <w:p>
            <w:pPr/>
            <w:r>
              <w:rPr/>
              <w:t xml:space="preserve">Estambul</w:t>
            </w:r>
          </w:p>
        </w:tc>
        <w:tc>
          <w:tcPr>
            <w:tcW w:w="7800" w:type="dxa"/>
            <w:noWrap/>
          </w:tcPr>
          <w:p>
            <w:pPr/>
            <w:r>
              <w:rPr/>
              <w:t xml:space="preserve">Gonen Hotel o Similar</w:t>
            </w:r>
          </w:p>
        </w:tc>
        <w:tc>
          <w:tcPr>
            <w:tcW w:w="7800" w:type="dxa"/>
            <w:noWrap/>
          </w:tcPr>
          <w:p>
            <w:pPr/>
            <w:r>
              <w:rPr/>
              <w:t xml:space="preserve">Platino</w:t>
            </w:r>
          </w:p>
        </w:tc>
      </w:tr>
      <w:tr>
        <w:trPr/>
        <w:tc>
          <w:tcPr>
            <w:tcW w:w="7800" w:type="dxa"/>
            <w:noWrap/>
          </w:tcPr>
          <w:p>
            <w:pPr/>
            <w:r>
              <w:rPr/>
              <w:t xml:space="preserve">Estambul</w:t>
            </w:r>
          </w:p>
        </w:tc>
        <w:tc>
          <w:tcPr>
            <w:tcW w:w="7800" w:type="dxa"/>
            <w:noWrap/>
          </w:tcPr>
          <w:p>
            <w:pPr/>
            <w:r>
              <w:rPr/>
              <w:t xml:space="preserve">Dedeman Istanbul o Similar</w:t>
            </w:r>
          </w:p>
        </w:tc>
        <w:tc>
          <w:tcPr>
            <w:tcW w:w="7800" w:type="dxa"/>
            <w:noWrap/>
          </w:tcPr>
          <w:p>
            <w:pPr/>
            <w:r>
              <w:rPr/>
              <w:t xml:space="preserve">Oro</w:t>
            </w:r>
          </w:p>
        </w:tc>
      </w:tr>
      <w:tr>
        <w:trPr/>
        <w:tc>
          <w:tcPr>
            <w:tcW w:w="7800" w:type="dxa"/>
            <w:noWrap/>
          </w:tcPr>
          <w:p>
            <w:pPr/>
            <w:r>
              <w:rPr/>
              <w:t xml:space="preserve">Mardin</w:t>
            </w:r>
          </w:p>
        </w:tc>
        <w:tc>
          <w:tcPr>
            <w:tcW w:w="7800" w:type="dxa"/>
            <w:noWrap/>
          </w:tcPr>
          <w:p>
            <w:pPr/>
            <w:r>
              <w:rPr/>
              <w:t xml:space="preserve">Anemon Mardin o Similar</w:t>
            </w:r>
          </w:p>
        </w:tc>
        <w:tc>
          <w:tcPr>
            <w:tcW w:w="7800" w:type="dxa"/>
            <w:noWrap/>
          </w:tcPr>
          <w:p>
            <w:pPr/>
            <w:r>
              <w:rPr/>
              <w:t xml:space="preserve">Todas las Categorías</w:t>
            </w:r>
          </w:p>
        </w:tc>
      </w:tr>
      <w:tr>
        <w:trPr/>
        <w:tc>
          <w:tcPr>
            <w:tcW w:w="7800" w:type="dxa"/>
            <w:noWrap/>
          </w:tcPr>
          <w:p>
            <w:pPr/>
            <w:r>
              <w:rPr/>
              <w:t xml:space="preserve">Sanliurfa</w:t>
            </w:r>
          </w:p>
        </w:tc>
        <w:tc>
          <w:tcPr>
            <w:tcW w:w="7800" w:type="dxa"/>
            <w:noWrap/>
          </w:tcPr>
          <w:p>
            <w:pPr/>
            <w:r>
              <w:rPr/>
              <w:t xml:space="preserve">Nevali Otel o Similar</w:t>
            </w:r>
          </w:p>
        </w:tc>
        <w:tc>
          <w:tcPr>
            <w:tcW w:w="7800" w:type="dxa"/>
            <w:noWrap/>
          </w:tcPr>
          <w:p>
            <w:pPr/>
            <w:r>
              <w:rPr/>
              <w:t xml:space="preserve">Todas las Categorías</w:t>
            </w:r>
          </w:p>
        </w:tc>
      </w:tr>
      <w:tr>
        <w:trPr/>
        <w:tc>
          <w:tcPr>
            <w:tcW w:w="7800" w:type="dxa"/>
            <w:noWrap/>
          </w:tcPr>
          <w:p>
            <w:pPr/>
            <w:r>
              <w:rPr/>
              <w:t xml:space="preserve">Gaziantep</w:t>
            </w:r>
          </w:p>
        </w:tc>
        <w:tc>
          <w:tcPr>
            <w:tcW w:w="7800" w:type="dxa"/>
            <w:noWrap/>
          </w:tcPr>
          <w:p>
            <w:pPr/>
            <w:r>
              <w:rPr/>
              <w:t xml:space="preserve">Grand Hotel Gaziantep o Similar</w:t>
            </w:r>
          </w:p>
        </w:tc>
        <w:tc>
          <w:tcPr>
            <w:tcW w:w="7800" w:type="dxa"/>
            <w:noWrap/>
          </w:tcPr>
          <w:p>
            <w:pPr/>
            <w:r>
              <w:rPr/>
              <w:t xml:space="preserve">Todas las Categorías</w:t>
            </w:r>
          </w:p>
        </w:tc>
      </w:tr>
      <w:tr>
        <w:trPr/>
        <w:tc>
          <w:tcPr>
            <w:tcW w:w="7800" w:type="dxa"/>
            <w:noWrap/>
          </w:tcPr>
          <w:p>
            <w:pPr/>
            <w:r>
              <w:rPr/>
              <w:t xml:space="preserve">Capadocia</w:t>
            </w:r>
          </w:p>
        </w:tc>
        <w:tc>
          <w:tcPr>
            <w:tcW w:w="7800" w:type="dxa"/>
            <w:noWrap/>
          </w:tcPr>
          <w:p>
            <w:pPr/>
            <w:r>
              <w:rPr/>
              <w:t xml:space="preserve">Signature Spa o Similar</w:t>
            </w:r>
          </w:p>
        </w:tc>
        <w:tc>
          <w:tcPr>
            <w:tcW w:w="7800" w:type="dxa"/>
            <w:noWrap/>
          </w:tcPr>
          <w:p>
            <w:pPr/>
            <w:r>
              <w:rPr/>
              <w:t xml:space="preserve">Todas las Categorías</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en Estambul en categoría seleccionada.</w:t>
      </w:r>
    </w:p>
    <w:p>
      <w:pPr>
        <w:numPr>
          <w:ilvl w:val="1"/>
          <w:numId w:val="2"/>
        </w:numPr>
      </w:pPr>
      <w:r>
        <w:rPr/>
        <w:t xml:space="preserve">02 noches de Alojamiento en Mardin.</w:t>
      </w:r>
    </w:p>
    <w:p>
      <w:pPr>
        <w:numPr>
          <w:ilvl w:val="1"/>
          <w:numId w:val="2"/>
        </w:numPr>
      </w:pPr>
      <w:r>
        <w:rPr/>
        <w:t xml:space="preserve">01 noche de Alojamiento en Sanliurfa.</w:t>
      </w:r>
    </w:p>
    <w:p>
      <w:pPr>
        <w:numPr>
          <w:ilvl w:val="1"/>
          <w:numId w:val="2"/>
        </w:numPr>
      </w:pPr>
      <w:r>
        <w:rPr/>
        <w:t xml:space="preserve">01 noche de Alojamiento en Gaziantep. </w:t>
      </w:r>
    </w:p>
    <w:p>
      <w:pPr>
        <w:numPr>
          <w:ilvl w:val="1"/>
          <w:numId w:val="2"/>
        </w:numPr>
      </w:pPr>
      <w:r>
        <w:rPr/>
        <w:t xml:space="preserve">02 noches de Alojamiento en Capadocia.</w:t>
      </w:r>
    </w:p>
    <w:p>
      <w:pPr>
        <w:numPr>
          <w:ilvl w:val="1"/>
          <w:numId w:val="2"/>
        </w:numPr>
      </w:pPr>
      <w:r>
        <w:rPr/>
        <w:t xml:space="preserve">Desayuno diario, 06 Cenas.</w:t>
      </w:r>
    </w:p>
    <w:p>
      <w:pPr>
        <w:numPr>
          <w:ilvl w:val="1"/>
          <w:numId w:val="2"/>
        </w:numPr>
      </w:pPr>
      <w:r>
        <w:rPr/>
        <w:t xml:space="preserve">Guía de habla hispana.</w:t>
      </w:r>
    </w:p>
    <w:p>
      <w:pPr>
        <w:numPr>
          <w:ilvl w:val="1"/>
          <w:numId w:val="2"/>
        </w:numPr>
      </w:pPr>
      <w:r>
        <w:rPr/>
        <w:t xml:space="preserve">Entradas y visitas de acuerdo con el mencionado en el programa.</w:t>
      </w:r>
    </w:p>
    <w:p>
      <w:pPr>
        <w:numPr>
          <w:ilvl w:val="1"/>
          <w:numId w:val="2"/>
        </w:numPr>
      </w:pPr>
      <w:r>
        <w:rPr/>
        <w:t xml:space="preserve">Traslados in/out en auto con aire acondicionado en servicio regular.</w:t>
      </w:r>
    </w:p>
    <w:p>
      <w:pPr>
        <w:numPr>
          <w:ilvl w:val="1"/>
          <w:numId w:val="2"/>
        </w:numPr>
      </w:pPr>
      <w:r>
        <w:rPr/>
        <w:t xml:space="preserve">Traslado de salida de Estambul.</w:t>
      </w:r>
    </w:p>
    <w:p>
      <w:pPr>
        <w:numPr>
          <w:ilvl w:val="1"/>
          <w:numId w:val="2"/>
        </w:numPr>
      </w:pPr>
      <w:r>
        <w:rPr/>
        <w:t xml:space="preserve">Traslado de llegada a Mardin.</w:t>
      </w:r>
    </w:p>
    <w:p>
      <w:pPr>
        <w:numPr>
          <w:ilvl w:val="1"/>
          <w:numId w:val="2"/>
        </w:numPr>
      </w:pPr>
      <w:r>
        <w:rPr/>
        <w:t xml:space="preserve">Todos los servicios en plan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Propinas para el guía, chófer, etc. - se sugiere 5 USD por pax por día.</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w:t>
      </w:r>
    </w:p>
    <w:p>
      <w:pPr>
        <w:numPr>
          <w:ilvl w:val="1"/>
          <w:numId w:val="2"/>
        </w:numPr>
      </w:pPr>
      <w:r>
        <w:rPr/>
        <w:t xml:space="preserve">Vuelos domésticos Estambul –Mardin (Tarifa NETA aproximada por persona sujeta a cambios USD 200) // Política de equipaje 15 Kg en bodega + Equipaje de mano por pax)</w:t>
      </w:r>
    </w:p>
    <w:p>
      <w:pPr>
        <w:numPr>
          <w:ilvl w:val="1"/>
          <w:numId w:val="2"/>
        </w:numPr>
      </w:pPr>
      <w:r>
        <w:rPr/>
        <w:t xml:space="preserve">Gastos personales. </w:t>
      </w:r>
    </w:p>
    <w:p>
      <w:pPr>
        <w:numPr>
          <w:ilvl w:val="1"/>
          <w:numId w:val="2"/>
        </w:numPr>
      </w:pPr>
      <w:r>
        <w:rPr/>
        <w:t xml:space="preserve">Servicios no especificados en el “precio incluye”.</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F96AC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BB6B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2025-04-24T07:24:39+00:00</dcterms:created>
  <dcterms:modified xsi:type="dcterms:W3CDTF">2025-04-24T07:24:39+00:00</dcterms:modified>
</cp:coreProperties>
</file>

<file path=docProps/custom.xml><?xml version="1.0" encoding="utf-8"?>
<Properties xmlns="http://schemas.openxmlformats.org/officeDocument/2006/custom-properties" xmlns:vt="http://schemas.openxmlformats.org/officeDocument/2006/docPropsVTypes"/>
</file>