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GRECIA EN FERRY                    </w:t>
      </w:r>
    </w:p>
    <w:p>
      <w:pPr/>
      <w:r>
        <w:rPr>
          <w:rFonts w:ascii="Arial" w:hAnsi="Arial" w:eastAsia="Arial" w:cs="Arial"/>
          <w:color w:val="light"/>
          <w:sz w:val="22"/>
          <w:szCs w:val="22"/>
          <w:b w:val="0"/>
          <w:bCs w:val="0"/>
        </w:rPr>
        <w:t xml:space="preserve">MTC - 28429</w:t>
      </w:r>
    </w:p>
    <w:p>
      <w:pPr/>
      <w:r>
        <w:rPr>
          <w:rFonts w:ascii="Arial" w:hAnsi="Arial" w:eastAsia="Arial" w:cs="Arial"/>
          <w:color w:val="light"/>
          <w:sz w:val="22"/>
          <w:szCs w:val="22"/>
          <w:b w:val="0"/>
          <w:bCs w:val="0"/>
        </w:rPr>
        <w:t xml:space="preserve">16 Días y 15 Noches</w:t>
      </w:r>
    </w:p>
    <w:p/>
    <w:p/>
    <w:p>
      <w:pPr>
        <w:jc w:val="center"/>
        <w:spacing w:before="450"/>
      </w:pPr>
      <w:r>
        <w:rPr>
          <w:sz w:val="40.5"/>
          <w:szCs w:val="40.5"/>
        </w:rPr>
        <w:t xml:space="preserve">Desde $1576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Ankara, </w:t>
      </w:r>
      <w:r>
        <w:rPr/>
        <w:t xml:space="preserve">Capadocia, </w:t>
      </w:r>
      <w:r>
        <w:rPr/>
        <w:t xml:space="preserve">Pamukkale, </w:t>
      </w:r>
      <w:r>
        <w:rPr/>
        <w:t xml:space="preserve">Kusadasi, </w:t>
      </w:r>
      <w:r>
        <w:rPr/>
        <w:t xml:space="preserve">Izmir, </w:t>
      </w:r>
      <w:r>
        <w:rPr/>
        <w:t xml:space="preserve">Bursa, </w:t>
      </w:r>
      <w:r>
        <w:rPr/>
        <w:t xml:space="preserve">Estambul, </w:t>
      </w:r>
      <w:r>
        <w:rPr/>
        <w:t xml:space="preserve">Atenas, </w:t>
      </w:r>
      <w:r>
        <w:rPr/>
        <w:t xml:space="preserve">Mykonos, </w:t>
      </w:r>
      <w:r>
        <w:rPr/>
        <w:t xml:space="preserve">Santorini, </w:t>
      </w:r>
      <w:r>
        <w:rPr/>
        <w:t xml:space="preserve">Atenas,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A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w:t>
      </w:r>
    </w:p>
    <w:p>
      <w:pPr/>
      <w:r>
        <w:rPr/>
        <w:t xml:space="preserve">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ESTAMBUL.</w:t>
      </w:r>
      <w:br/>
      <w:r>
        <w:rPr/>
        <w:t xml:space="preserve">Desayuno. Día libre. Posibilidad de tomar la excursión opcional. Alojamiento.</w:t>
      </w:r>
    </w:p>
    <w:p>
      <w:pPr/>
      <w:r>
        <w:rPr>
          <w:b w:val="1"/>
          <w:bCs w:val="1"/>
        </w:rPr>
        <w:t xml:space="preserve">“PERLAS DEL CUERNO DE ORO Y BÓSFORO”</w:t>
      </w:r>
      <w:r>
        <w:rPr/>
        <w:t xml:space="preserve">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ESTAMBUL</w:t>
      </w:r>
      <w:br/>
      <w:r>
        <w:rPr/>
        <w:t xml:space="preserve">Desayuno. Día libre. Posibilidad de tomar la excursión opcional. Alojamiento.</w:t>
      </w:r>
    </w:p>
    <w:p>
      <w:pPr/>
      <w:r>
        <w:rPr>
          <w:b w:val="1"/>
          <w:bCs w:val="1"/>
        </w:rPr>
        <w:t xml:space="preserve">“JOYAS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t xml:space="preserve">Nota: Para el ingreso a la Mezquita de Santa Sofía (consultar suplemento).</w:t>
      </w:r>
    </w:p>
    <w:p>
      <w:pPr/>
      <w:r>
        <w:rPr>
          <w:b w:val="1"/>
          <w:bCs w:val="1"/>
        </w:rPr>
        <w:t xml:space="preserve">DÍA 04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DÍA 06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PAMUKKALE – SELCUK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t xml:space="preserve">Nota: El hospedaje podrá ser en Izmir o Kuşadasi dependiendo de la temporada.</w:t>
      </w:r>
    </w:p>
    <w:p>
      <w:pPr/>
      <w:r>
        <w:rPr>
          <w:b w:val="1"/>
          <w:bCs w:val="1"/>
        </w:rPr>
        <w:t xml:space="preserve">DÍA 08 IZMIR/KUSADASI.</w:t>
      </w:r>
      <w:br/>
      <w:r>
        <w:rPr/>
        <w:t xml:space="preserve">Desayuno. Día libre. Posibilidad de realizar la excursión opcional. Alojamiento.</w:t>
      </w:r>
    </w:p>
    <w:p>
      <w:pPr/>
      <w:r>
        <w:rPr>
          <w:b w:val="1"/>
          <w:bCs w:val="1"/>
        </w:rPr>
        <w:t xml:space="preserve">“CHÍOS – UN PARAÍSO GRIEGO”: </w:t>
      </w:r>
      <w:r>
        <w:rPr/>
        <w:t xml:space="preserve">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Cena en el hotel. Alojamiento.</w:t>
      </w:r>
    </w:p>
    <w:p>
      <w:pPr/>
      <w:r>
        <w:rPr>
          <w:b w:val="1"/>
          <w:bCs w:val="1"/>
        </w:rPr>
        <w:t xml:space="preserve">DÍA 09 IZMIR/KUSADASI – BURSA – ESTAMBUL.</w:t>
      </w:r>
      <w:br/>
      <w:r>
        <w:rPr/>
        <w:t xml:space="preserve">Desayuno. 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w:t>
      </w:r>
    </w:p>
    <w:p>
      <w:pPr/>
      <w:r>
        <w:rPr>
          <w:b w:val="1"/>
          <w:bCs w:val="1"/>
        </w:rPr>
        <w:t xml:space="preserve">DÍA 10 ESTAMBUL – ATENAS.</w:t>
      </w:r>
      <w:br/>
      <w:r>
        <w:rPr/>
        <w:t xml:space="preserve">Desayuno. Traslado al Aeropuerto (IST) para tomar vuelo con destino a Atenas (Vuelo NO incluido).</w:t>
      </w:r>
    </w:p>
    <w:p>
      <w:pPr/>
      <w:r>
        <w:rPr/>
        <w:t xml:space="preserve">Llegada al aeropuerto de Atenas y traslado al hotel elegido. Alojamiento.</w:t>
      </w:r>
    </w:p>
    <w:p>
      <w:pPr/>
      <w:r>
        <w:rPr>
          <w:b w:val="1"/>
          <w:bCs w:val="1"/>
        </w:rPr>
        <w:t xml:space="preserve">DÍA 11 ATENAS – VISITA DE CIUDAD ½ DÍA.</w:t>
      </w:r>
      <w:br/>
      <w:r>
        <w:rPr/>
        <w:t xml:space="preserve">Desayuno.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Panatinaikon, donde se celebraron los primeros Juegos Olímpicos de la era moderna. Tarde libre. Alojamiento.</w:t>
      </w:r>
    </w:p>
    <w:p>
      <w:pPr/>
      <w:r>
        <w:rPr>
          <w:b w:val="1"/>
          <w:bCs w:val="1"/>
        </w:rPr>
        <w:t xml:space="preserve">DÍA 12 ATENAS – MYKONOS</w:t>
      </w:r>
      <w:br/>
      <w:r>
        <w:rPr/>
        <w:t xml:space="preserve">Desayuno. Traslado al puerto de Pireo para salir hacia Mykonos. Ferry normal: 07.30h-13.00h. Llegada al puerto de Mykonos y traslado al hotel. Tarde libre. Alojamiento.</w:t>
      </w:r>
    </w:p>
    <w:p>
      <w:pPr/>
      <w:r>
        <w:rPr>
          <w:b w:val="1"/>
          <w:bCs w:val="1"/>
        </w:rPr>
        <w:t xml:space="preserve">DIA 13 MYKONOS</w:t>
      </w:r>
      <w:br/>
      <w:r>
        <w:rPr/>
        <w:t xml:space="preserve">Desayuno. Día libre para disfrutar de la isla. Alojamiento.</w:t>
      </w:r>
    </w:p>
    <w:p>
      <w:pPr/>
      <w:r>
        <w:rPr>
          <w:b w:val="1"/>
          <w:bCs w:val="1"/>
        </w:rPr>
        <w:t xml:space="preserve">DIA 14 MYKONOS - SANTORINI</w:t>
      </w:r>
      <w:r>
        <w:rPr/>
        <w:t xml:space="preserve"> Desayuno. Tiempo libre hasta la hora del traslado al puerto para embarcar y salir hacia Santorini. Ferry rápido: 10.00h-12.50h. Llegada a Santorini, traslado al hotel. Alojamiento.</w:t>
      </w:r>
    </w:p>
    <w:p>
      <w:pPr/>
      <w:r>
        <w:rPr>
          <w:b w:val="1"/>
          <w:bCs w:val="1"/>
        </w:rPr>
        <w:t xml:space="preserve">DIA 15 SANTORINI</w:t>
      </w:r>
      <w:br/>
      <w:r>
        <w:rPr/>
        <w:t xml:space="preserve">Desayuno. Día libre para disfrutar de la isla. Alojamiento.</w:t>
      </w:r>
    </w:p>
    <w:p>
      <w:pPr/>
      <w:r>
        <w:rPr>
          <w:b w:val="1"/>
          <w:bCs w:val="1"/>
        </w:rPr>
        <w:t xml:space="preserve">DIA 16 SANTORINI – ATENAS (Aeropuerto).</w:t>
      </w:r>
      <w:br/>
      <w:r>
        <w:rPr/>
        <w:t xml:space="preserve">Desayuno. Tiempo libre hasta realizar el traslado al aeropuerto. Fin de su estancia en Grecia.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AMÉRICANOS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2"/>
            <w:noWrap/>
          </w:tcPr>
          <w:p>
            <w:pPr>
              <w:jc w:val="start"/>
              <w:spacing w:before="0" w:after="0"/>
            </w:pPr>
            <w:r>
              <w:rPr>
                <w:b w:val="1"/>
                <w:bCs w:val="1"/>
              </w:rPr>
              <w:t xml:space="preserve">LUJO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01/04 - 30/04</w:t>
            </w:r>
          </w:p>
        </w:tc>
        <w:tc>
          <w:tcPr>
            <w:tcW w:w="7800" w:type="dxa"/>
            <w:noWrap/>
          </w:tcPr>
          <w:p>
            <w:pPr>
              <w:jc w:val="start"/>
              <w:spacing w:before="0" w:after="0"/>
            </w:pPr>
            <w:r>
              <w:rPr/>
              <w:t xml:space="preserve">USD 3.726</w:t>
            </w:r>
          </w:p>
        </w:tc>
        <w:tc>
          <w:tcPr>
            <w:tcW w:w="7800" w:type="dxa"/>
            <w:noWrap/>
          </w:tcPr>
          <w:p>
            <w:pPr>
              <w:jc w:val="start"/>
              <w:spacing w:before="0" w:after="0"/>
            </w:pPr>
            <w:r>
              <w:rPr/>
              <w:t xml:space="preserve">USD 2.499</w:t>
            </w:r>
          </w:p>
        </w:tc>
        <w:tc>
          <w:tcPr>
            <w:tcW w:w="7800" w:type="dxa"/>
            <w:noWrap/>
          </w:tcPr>
          <w:p>
            <w:pPr>
              <w:jc w:val="start"/>
              <w:spacing w:before="0" w:after="0"/>
            </w:pPr>
            <w:r>
              <w:rPr/>
              <w:t xml:space="preserve">USD 2.250</w:t>
            </w:r>
          </w:p>
        </w:tc>
      </w:tr>
      <w:tr>
        <w:trPr/>
        <w:tc>
          <w:tcPr>
            <w:tcW w:w="7800" w:type="dxa"/>
            <w:noWrap/>
          </w:tcPr>
          <w:p>
            <w:pPr>
              <w:jc w:val="start"/>
              <w:spacing w:before="0" w:after="0"/>
            </w:pPr>
            <w:r>
              <w:rPr/>
              <w:t xml:space="preserve">01/05 - 31/05</w:t>
            </w:r>
          </w:p>
        </w:tc>
        <w:tc>
          <w:tcPr>
            <w:tcW w:w="7800" w:type="dxa"/>
            <w:noWrap/>
          </w:tcPr>
          <w:p>
            <w:pPr>
              <w:jc w:val="start"/>
              <w:spacing w:before="0" w:after="0"/>
            </w:pPr>
            <w:r>
              <w:rPr/>
              <w:t xml:space="preserve">21/09 - 31/10</w:t>
            </w:r>
          </w:p>
        </w:tc>
        <w:tc>
          <w:tcPr>
            <w:tcW w:w="7800" w:type="dxa"/>
            <w:noWrap/>
          </w:tcPr>
          <w:p>
            <w:pPr>
              <w:jc w:val="start"/>
              <w:spacing w:before="0" w:after="0"/>
            </w:pPr>
            <w:r>
              <w:rPr/>
              <w:t xml:space="preserve">USD 4.371</w:t>
            </w:r>
          </w:p>
        </w:tc>
        <w:tc>
          <w:tcPr>
            <w:tcW w:w="7800" w:type="dxa"/>
            <w:noWrap/>
          </w:tcPr>
          <w:p>
            <w:pPr>
              <w:jc w:val="start"/>
              <w:spacing w:before="0" w:after="0"/>
            </w:pPr>
            <w:r>
              <w:rPr/>
              <w:t xml:space="preserve">USD 2.748</w:t>
            </w:r>
          </w:p>
        </w:tc>
        <w:tc>
          <w:tcPr>
            <w:tcW w:w="7800" w:type="dxa"/>
            <w:noWrap/>
          </w:tcPr>
          <w:p>
            <w:pPr>
              <w:jc w:val="start"/>
              <w:spacing w:before="0" w:after="0"/>
            </w:pPr>
            <w:r>
              <w:rPr/>
              <w:t xml:space="preserve">USD 2.426</w:t>
            </w:r>
          </w:p>
        </w:tc>
      </w:tr>
      <w:tr>
        <w:trPr/>
        <w:tc>
          <w:tcPr>
            <w:tcW w:w="7800" w:type="dxa"/>
            <w:gridSpan w:val="2"/>
            <w:noWrap/>
          </w:tcPr>
          <w:p>
            <w:pPr>
              <w:jc w:val="start"/>
              <w:spacing w:before="0" w:after="0"/>
            </w:pPr>
            <w:r>
              <w:rPr/>
              <w:t xml:space="preserve">01/06 - 30/06</w:t>
            </w:r>
          </w:p>
        </w:tc>
        <w:tc>
          <w:tcPr>
            <w:tcW w:w="7800" w:type="dxa"/>
            <w:noWrap/>
          </w:tcPr>
          <w:p>
            <w:pPr>
              <w:jc w:val="start"/>
              <w:spacing w:before="0" w:after="0"/>
            </w:pPr>
            <w:r>
              <w:rPr/>
              <w:t xml:space="preserve">USD 5.031</w:t>
            </w:r>
          </w:p>
        </w:tc>
        <w:tc>
          <w:tcPr>
            <w:tcW w:w="7800" w:type="dxa"/>
            <w:noWrap/>
          </w:tcPr>
          <w:p>
            <w:pPr>
              <w:jc w:val="start"/>
              <w:spacing w:before="0" w:after="0"/>
            </w:pPr>
            <w:r>
              <w:rPr/>
              <w:t xml:space="preserve">USD 3.174</w:t>
            </w:r>
          </w:p>
        </w:tc>
        <w:tc>
          <w:tcPr>
            <w:tcW w:w="7800" w:type="dxa"/>
            <w:noWrap/>
          </w:tcPr>
          <w:p>
            <w:pPr>
              <w:jc w:val="start"/>
              <w:spacing w:before="0" w:after="0"/>
            </w:pPr>
            <w:r>
              <w:rPr/>
              <w:t xml:space="preserve">USD 2.748</w:t>
            </w:r>
          </w:p>
        </w:tc>
      </w:tr>
      <w:tr>
        <w:trPr/>
        <w:tc>
          <w:tcPr>
            <w:tcW w:w="7800" w:type="dxa"/>
            <w:gridSpan w:val="2"/>
            <w:noWrap/>
          </w:tcPr>
          <w:p>
            <w:pPr>
              <w:jc w:val="start"/>
              <w:spacing w:before="0" w:after="0"/>
            </w:pPr>
            <w:r>
              <w:rPr/>
              <w:t xml:space="preserve">01/07 - 20/09</w:t>
            </w:r>
          </w:p>
        </w:tc>
        <w:tc>
          <w:tcPr>
            <w:tcW w:w="7800" w:type="dxa"/>
            <w:noWrap/>
          </w:tcPr>
          <w:p>
            <w:pPr>
              <w:jc w:val="start"/>
              <w:spacing w:before="0" w:after="0"/>
            </w:pPr>
            <w:r>
              <w:rPr/>
              <w:t xml:space="preserve">USD 5.559</w:t>
            </w:r>
          </w:p>
        </w:tc>
        <w:tc>
          <w:tcPr>
            <w:tcW w:w="7800" w:type="dxa"/>
            <w:noWrap/>
          </w:tcPr>
          <w:p>
            <w:pPr>
              <w:jc w:val="start"/>
              <w:spacing w:before="0" w:after="0"/>
            </w:pPr>
            <w:r>
              <w:rPr/>
              <w:t xml:space="preserve">USD 3.335</w:t>
            </w:r>
          </w:p>
        </w:tc>
        <w:tc>
          <w:tcPr>
            <w:tcW w:w="7800" w:type="dxa"/>
            <w:noWrap/>
          </w:tcPr>
          <w:p>
            <w:pPr>
              <w:jc w:val="start"/>
              <w:spacing w:before="0" w:after="0"/>
            </w:pPr>
            <w:r>
              <w:rPr/>
              <w:t xml:space="preserve">USD 2.983</w:t>
            </w:r>
          </w:p>
        </w:tc>
      </w:tr>
      <w:tr>
        <w:trPr/>
        <w:tc>
          <w:tcPr>
            <w:tcW w:w="7800" w:type="dxa"/>
            <w:gridSpan w:val="2"/>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01/04 - 30/04</w:t>
            </w:r>
          </w:p>
        </w:tc>
        <w:tc>
          <w:tcPr>
            <w:tcW w:w="7800" w:type="dxa"/>
            <w:noWrap/>
          </w:tcPr>
          <w:p>
            <w:pPr>
              <w:jc w:val="start"/>
              <w:spacing w:before="0" w:after="0"/>
            </w:pPr>
            <w:r>
              <w:rPr/>
              <w:t xml:space="preserve">16/10 - 31/10</w:t>
            </w:r>
          </w:p>
        </w:tc>
        <w:tc>
          <w:tcPr>
            <w:tcW w:w="7800" w:type="dxa"/>
            <w:noWrap/>
          </w:tcPr>
          <w:p>
            <w:pPr>
              <w:jc w:val="start"/>
              <w:spacing w:before="0" w:after="0"/>
            </w:pPr>
            <w:r>
              <w:rPr/>
              <w:t xml:space="preserve">USD 3.344</w:t>
            </w:r>
          </w:p>
        </w:tc>
        <w:tc>
          <w:tcPr>
            <w:tcW w:w="7800" w:type="dxa"/>
            <w:noWrap/>
          </w:tcPr>
          <w:p>
            <w:pPr>
              <w:jc w:val="start"/>
              <w:spacing w:before="0" w:after="0"/>
            </w:pPr>
            <w:r>
              <w:rPr/>
              <w:t xml:space="preserve">USD 2.147</w:t>
            </w:r>
          </w:p>
        </w:tc>
        <w:tc>
          <w:tcPr>
            <w:tcW w:w="7800" w:type="dxa"/>
            <w:noWrap/>
          </w:tcPr>
          <w:p>
            <w:pPr>
              <w:jc w:val="start"/>
              <w:spacing w:before="0" w:after="0"/>
            </w:pPr>
            <w:r>
              <w:rPr/>
              <w:t xml:space="preserve">USD 1.949</w:t>
            </w:r>
          </w:p>
        </w:tc>
      </w:tr>
      <w:tr>
        <w:trPr/>
        <w:tc>
          <w:tcPr>
            <w:tcW w:w="7800" w:type="dxa"/>
            <w:gridSpan w:val="2"/>
            <w:noWrap/>
          </w:tcPr>
          <w:p>
            <w:pPr>
              <w:jc w:val="start"/>
              <w:spacing w:before="0" w:after="0"/>
            </w:pPr>
            <w:r>
              <w:rPr/>
              <w:t xml:space="preserve">01/05 - 31/05</w:t>
            </w:r>
          </w:p>
        </w:tc>
        <w:tc>
          <w:tcPr>
            <w:tcW w:w="7800" w:type="dxa"/>
            <w:noWrap/>
          </w:tcPr>
          <w:p>
            <w:pPr>
              <w:jc w:val="start"/>
              <w:spacing w:before="0" w:after="0"/>
            </w:pPr>
            <w:r>
              <w:rPr/>
              <w:t xml:space="preserve">USD 3.491</w:t>
            </w:r>
          </w:p>
        </w:tc>
        <w:tc>
          <w:tcPr>
            <w:tcW w:w="7800" w:type="dxa"/>
            <w:noWrap/>
          </w:tcPr>
          <w:p>
            <w:pPr>
              <w:jc w:val="start"/>
              <w:spacing w:before="0" w:after="0"/>
            </w:pPr>
            <w:r>
              <w:rPr/>
              <w:t xml:space="preserve">USD 2.213</w:t>
            </w:r>
          </w:p>
        </w:tc>
        <w:tc>
          <w:tcPr>
            <w:tcW w:w="7800" w:type="dxa"/>
            <w:noWrap/>
          </w:tcPr>
          <w:p>
            <w:pPr>
              <w:jc w:val="start"/>
              <w:spacing w:before="0" w:after="0"/>
            </w:pPr>
            <w:r>
              <w:rPr/>
              <w:t xml:space="preserve">USD 2.000</w:t>
            </w:r>
          </w:p>
        </w:tc>
      </w:tr>
      <w:tr>
        <w:trPr/>
        <w:tc>
          <w:tcPr>
            <w:tcW w:w="7800" w:type="dxa"/>
            <w:noWrap/>
          </w:tcPr>
          <w:p>
            <w:pPr>
              <w:jc w:val="start"/>
              <w:spacing w:before="0" w:after="0"/>
            </w:pPr>
            <w:r>
              <w:rPr/>
              <w:t xml:space="preserve">01/06 – 10/07</w:t>
            </w:r>
          </w:p>
        </w:tc>
        <w:tc>
          <w:tcPr>
            <w:tcW w:w="7800" w:type="dxa"/>
            <w:noWrap/>
          </w:tcPr>
          <w:p>
            <w:pPr>
              <w:jc w:val="start"/>
              <w:spacing w:before="0" w:after="0"/>
            </w:pPr>
            <w:r>
              <w:rPr/>
              <w:t xml:space="preserve">27/09 – 15/10</w:t>
            </w:r>
          </w:p>
        </w:tc>
        <w:tc>
          <w:tcPr>
            <w:tcW w:w="7800" w:type="dxa"/>
            <w:noWrap/>
          </w:tcPr>
          <w:p>
            <w:pPr>
              <w:jc w:val="start"/>
              <w:spacing w:before="0" w:after="0"/>
            </w:pPr>
            <w:r>
              <w:rPr/>
              <w:t xml:space="preserve">USD 4.107</w:t>
            </w:r>
          </w:p>
        </w:tc>
        <w:tc>
          <w:tcPr>
            <w:tcW w:w="7800" w:type="dxa"/>
            <w:noWrap/>
          </w:tcPr>
          <w:p>
            <w:pPr>
              <w:jc w:val="start"/>
              <w:spacing w:before="0" w:after="0"/>
            </w:pPr>
            <w:r>
              <w:rPr/>
              <w:t xml:space="preserve">USD 2.484</w:t>
            </w:r>
          </w:p>
        </w:tc>
        <w:tc>
          <w:tcPr>
            <w:tcW w:w="7800" w:type="dxa"/>
            <w:noWrap/>
          </w:tcPr>
          <w:p>
            <w:pPr>
              <w:jc w:val="start"/>
              <w:spacing w:before="0" w:after="0"/>
            </w:pPr>
            <w:r>
              <w:rPr/>
              <w:t xml:space="preserve">USD 2.308</w:t>
            </w:r>
          </w:p>
        </w:tc>
      </w:tr>
      <w:tr>
        <w:trPr/>
        <w:tc>
          <w:tcPr>
            <w:tcW w:w="7800" w:type="dxa"/>
            <w:gridSpan w:val="2"/>
            <w:noWrap/>
          </w:tcPr>
          <w:p>
            <w:pPr>
              <w:jc w:val="start"/>
              <w:spacing w:before="0" w:after="0"/>
            </w:pPr>
            <w:r>
              <w:rPr/>
              <w:t xml:space="preserve">11/07 – 26/09</w:t>
            </w:r>
          </w:p>
        </w:tc>
        <w:tc>
          <w:tcPr>
            <w:tcW w:w="7800" w:type="dxa"/>
            <w:noWrap/>
          </w:tcPr>
          <w:p>
            <w:pPr>
              <w:jc w:val="start"/>
              <w:spacing w:before="0" w:after="0"/>
            </w:pPr>
            <w:r>
              <w:rPr/>
              <w:t xml:space="preserve">USD 4.386</w:t>
            </w:r>
          </w:p>
        </w:tc>
        <w:tc>
          <w:tcPr>
            <w:tcW w:w="7800" w:type="dxa"/>
            <w:noWrap/>
          </w:tcPr>
          <w:p>
            <w:pPr>
              <w:jc w:val="start"/>
              <w:spacing w:before="0" w:after="0"/>
            </w:pPr>
            <w:r>
              <w:rPr/>
              <w:t xml:space="preserve">USD 2.587</w:t>
            </w:r>
          </w:p>
        </w:tc>
        <w:tc>
          <w:tcPr>
            <w:tcW w:w="7800" w:type="dxa"/>
            <w:noWrap/>
          </w:tcPr>
          <w:p>
            <w:pPr>
              <w:jc w:val="start"/>
              <w:spacing w:before="0" w:after="0"/>
            </w:pPr>
            <w:r>
              <w:rPr/>
              <w:t xml:space="preserve">USD 2.426</w:t>
            </w:r>
          </w:p>
        </w:tc>
      </w:tr>
      <w:tr>
        <w:trPr/>
        <w:tc>
          <w:tcPr>
            <w:tcW w:w="7800" w:type="dxa"/>
            <w:gridSpan w:val="2"/>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t xml:space="preserve">01/04 - 30/04</w:t>
            </w:r>
          </w:p>
        </w:tc>
        <w:tc>
          <w:tcPr>
            <w:tcW w:w="7800" w:type="dxa"/>
            <w:noWrap/>
          </w:tcPr>
          <w:p>
            <w:pPr>
              <w:jc w:val="start"/>
              <w:spacing w:before="0" w:after="0"/>
            </w:pPr>
            <w:r>
              <w:rPr/>
              <w:t xml:space="preserve">11/10 - 31/10</w:t>
            </w:r>
          </w:p>
        </w:tc>
        <w:tc>
          <w:tcPr>
            <w:tcW w:w="7800" w:type="dxa"/>
            <w:noWrap/>
          </w:tcPr>
          <w:p>
            <w:pPr>
              <w:jc w:val="start"/>
              <w:spacing w:before="0" w:after="0"/>
            </w:pPr>
            <w:r>
              <w:rPr/>
              <w:t xml:space="preserve">USD 2.504</w:t>
            </w:r>
          </w:p>
        </w:tc>
        <w:tc>
          <w:tcPr>
            <w:tcW w:w="7800" w:type="dxa"/>
            <w:noWrap/>
          </w:tcPr>
          <w:p>
            <w:pPr>
              <w:jc w:val="start"/>
              <w:spacing w:before="0" w:after="0"/>
            </w:pPr>
            <w:r>
              <w:rPr/>
              <w:t xml:space="preserve">USD 1.752</w:t>
            </w:r>
          </w:p>
        </w:tc>
        <w:tc>
          <w:tcPr>
            <w:tcW w:w="7800" w:type="dxa"/>
            <w:noWrap/>
          </w:tcPr>
          <w:p>
            <w:pPr>
              <w:jc w:val="start"/>
              <w:spacing w:before="0" w:after="0"/>
            </w:pPr>
            <w:r>
              <w:rPr/>
              <w:t xml:space="preserve">USD 1.642</w:t>
            </w:r>
          </w:p>
        </w:tc>
      </w:tr>
      <w:tr>
        <w:trPr/>
        <w:tc>
          <w:tcPr>
            <w:tcW w:w="7800" w:type="dxa"/>
            <w:gridSpan w:val="2"/>
            <w:noWrap/>
          </w:tcPr>
          <w:p>
            <w:pPr>
              <w:jc w:val="start"/>
              <w:spacing w:before="0" w:after="0"/>
            </w:pPr>
            <w:r>
              <w:rPr/>
              <w:t xml:space="preserve">01/05 - 04/06</w:t>
            </w:r>
          </w:p>
        </w:tc>
        <w:tc>
          <w:tcPr>
            <w:tcW w:w="7800" w:type="dxa"/>
            <w:noWrap/>
          </w:tcPr>
          <w:p>
            <w:pPr>
              <w:jc w:val="start"/>
              <w:spacing w:before="0" w:after="0"/>
            </w:pPr>
            <w:r>
              <w:rPr/>
              <w:t xml:space="preserve">USD 2.966</w:t>
            </w:r>
          </w:p>
        </w:tc>
        <w:tc>
          <w:tcPr>
            <w:tcW w:w="7800" w:type="dxa"/>
            <w:noWrap/>
          </w:tcPr>
          <w:p>
            <w:pPr>
              <w:jc w:val="start"/>
              <w:spacing w:before="0" w:after="0"/>
            </w:pPr>
            <w:r>
              <w:rPr/>
              <w:t xml:space="preserve">USD 1.972</w:t>
            </w:r>
          </w:p>
        </w:tc>
        <w:tc>
          <w:tcPr>
            <w:tcW w:w="7800" w:type="dxa"/>
            <w:noWrap/>
          </w:tcPr>
          <w:p>
            <w:pPr>
              <w:jc w:val="start"/>
              <w:spacing w:before="0" w:after="0"/>
            </w:pPr>
            <w:r>
              <w:rPr/>
              <w:t xml:space="preserve">USD 1.826</w:t>
            </w:r>
          </w:p>
        </w:tc>
      </w:tr>
      <w:tr>
        <w:trPr/>
        <w:tc>
          <w:tcPr>
            <w:tcW w:w="7800" w:type="dxa"/>
            <w:noWrap/>
          </w:tcPr>
          <w:p>
            <w:pPr>
              <w:jc w:val="start"/>
              <w:spacing w:before="0" w:after="0"/>
            </w:pPr>
            <w:r>
              <w:rPr/>
              <w:t xml:space="preserve">05/06 - 15/07</w:t>
            </w:r>
          </w:p>
        </w:tc>
        <w:tc>
          <w:tcPr>
            <w:tcW w:w="7800" w:type="dxa"/>
            <w:noWrap/>
          </w:tcPr>
          <w:p>
            <w:pPr>
              <w:jc w:val="start"/>
              <w:spacing w:before="0" w:after="0"/>
            </w:pPr>
            <w:r>
              <w:rPr/>
              <w:t xml:space="preserve">01/09 - 10/10</w:t>
            </w:r>
          </w:p>
        </w:tc>
        <w:tc>
          <w:tcPr>
            <w:tcW w:w="7800" w:type="dxa"/>
            <w:noWrap/>
          </w:tcPr>
          <w:p>
            <w:pPr>
              <w:jc w:val="start"/>
              <w:spacing w:before="0" w:after="0"/>
            </w:pPr>
            <w:r>
              <w:rPr/>
              <w:t xml:space="preserve">USD 3.332</w:t>
            </w:r>
          </w:p>
        </w:tc>
        <w:tc>
          <w:tcPr>
            <w:tcW w:w="7800" w:type="dxa"/>
            <w:noWrap/>
          </w:tcPr>
          <w:p>
            <w:pPr>
              <w:jc w:val="start"/>
              <w:spacing w:before="0" w:after="0"/>
            </w:pPr>
            <w:r>
              <w:rPr/>
              <w:t xml:space="preserve">USD 2.170</w:t>
            </w:r>
          </w:p>
        </w:tc>
        <w:tc>
          <w:tcPr>
            <w:tcW w:w="7800" w:type="dxa"/>
            <w:noWrap/>
          </w:tcPr>
          <w:p>
            <w:pPr>
              <w:jc w:val="start"/>
              <w:spacing w:before="0" w:after="0"/>
            </w:pPr>
            <w:r>
              <w:rPr/>
              <w:t xml:space="preserve">USD 1.972</w:t>
            </w:r>
          </w:p>
        </w:tc>
      </w:tr>
      <w:tr>
        <w:trPr/>
        <w:tc>
          <w:tcPr>
            <w:tcW w:w="7800" w:type="dxa"/>
            <w:gridSpan w:val="2"/>
            <w:noWrap/>
          </w:tcPr>
          <w:p>
            <w:pPr>
              <w:jc w:val="start"/>
              <w:spacing w:before="0" w:after="0"/>
            </w:pPr>
            <w:r>
              <w:rPr/>
              <w:t xml:space="preserve">16/07 - 31/08</w:t>
            </w:r>
          </w:p>
        </w:tc>
        <w:tc>
          <w:tcPr>
            <w:tcW w:w="7800" w:type="dxa"/>
            <w:noWrap/>
          </w:tcPr>
          <w:p>
            <w:pPr>
              <w:jc w:val="start"/>
              <w:spacing w:before="0" w:after="0"/>
            </w:pPr>
            <w:r>
              <w:rPr/>
              <w:t xml:space="preserve">USD 3.567</w:t>
            </w:r>
          </w:p>
        </w:tc>
        <w:tc>
          <w:tcPr>
            <w:tcW w:w="7800" w:type="dxa"/>
            <w:noWrap/>
          </w:tcPr>
          <w:p>
            <w:pPr>
              <w:jc w:val="start"/>
              <w:spacing w:before="0" w:after="0"/>
            </w:pPr>
            <w:r>
              <w:rPr/>
              <w:t xml:space="preserve">USD 2.266</w:t>
            </w:r>
          </w:p>
        </w:tc>
        <w:tc>
          <w:tcPr>
            <w:tcW w:w="7800" w:type="dxa"/>
            <w:noWrap/>
          </w:tcPr>
          <w:p>
            <w:pPr>
              <w:jc w:val="start"/>
              <w:spacing w:before="0" w:after="0"/>
            </w:pPr>
            <w:r>
              <w:rPr/>
              <w:t xml:space="preserve">USD 2.031</w:t>
            </w:r>
          </w:p>
        </w:tc>
      </w:tr>
      <w:tr>
        <w:trPr/>
        <w:tc>
          <w:tcPr>
            <w:tcW w:w="7800" w:type="dxa"/>
            <w:gridSpan w:val="2"/>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gridSpan w:val="2"/>
            <w:noWrap/>
          </w:tcPr>
          <w:p>
            <w:pPr>
              <w:jc w:val="start"/>
              <w:spacing w:before="0" w:after="0"/>
            </w:pPr>
            <w:r>
              <w:rPr/>
              <w:t xml:space="preserve">01/04 - 30/04</w:t>
            </w:r>
          </w:p>
        </w:tc>
        <w:tc>
          <w:tcPr>
            <w:tcW w:w="7800" w:type="dxa"/>
            <w:noWrap/>
          </w:tcPr>
          <w:p>
            <w:pPr>
              <w:jc w:val="start"/>
              <w:spacing w:before="0" w:after="0"/>
            </w:pPr>
            <w:r>
              <w:rPr/>
              <w:t xml:space="preserve">USD 2.335</w:t>
            </w:r>
          </w:p>
        </w:tc>
        <w:tc>
          <w:tcPr>
            <w:tcW w:w="7800" w:type="dxa"/>
            <w:noWrap/>
          </w:tcPr>
          <w:p>
            <w:pPr>
              <w:jc w:val="start"/>
              <w:spacing w:before="0" w:after="0"/>
            </w:pPr>
            <w:r>
              <w:rPr/>
              <w:t xml:space="preserve">USD 1.672</w:t>
            </w:r>
          </w:p>
        </w:tc>
        <w:tc>
          <w:tcPr>
            <w:tcW w:w="7800" w:type="dxa"/>
            <w:noWrap/>
          </w:tcPr>
          <w:p>
            <w:pPr>
              <w:jc w:val="start"/>
              <w:spacing w:before="0" w:after="0"/>
            </w:pPr>
            <w:r>
              <w:rPr/>
              <w:t xml:space="preserve">USD 1.576</w:t>
            </w:r>
          </w:p>
        </w:tc>
      </w:tr>
      <w:tr>
        <w:trPr/>
        <w:tc>
          <w:tcPr>
            <w:tcW w:w="7800" w:type="dxa"/>
            <w:noWrap/>
          </w:tcPr>
          <w:p>
            <w:pPr>
              <w:jc w:val="start"/>
              <w:spacing w:before="0" w:after="0"/>
            </w:pPr>
            <w:r>
              <w:rPr/>
              <w:t xml:space="preserve">01/05 - 31/05</w:t>
            </w:r>
          </w:p>
        </w:tc>
        <w:tc>
          <w:tcPr>
            <w:tcW w:w="7800" w:type="dxa"/>
            <w:noWrap/>
          </w:tcPr>
          <w:p>
            <w:pPr>
              <w:jc w:val="start"/>
              <w:spacing w:before="0" w:after="0"/>
            </w:pPr>
            <w:r>
              <w:rPr/>
              <w:t xml:space="preserve">01/10 - 31/10</w:t>
            </w:r>
          </w:p>
        </w:tc>
        <w:tc>
          <w:tcPr>
            <w:tcW w:w="7800" w:type="dxa"/>
            <w:noWrap/>
          </w:tcPr>
          <w:p>
            <w:pPr>
              <w:jc w:val="start"/>
              <w:spacing w:before="0" w:after="0"/>
            </w:pPr>
            <w:r>
              <w:rPr/>
              <w:t xml:space="preserve">USD 2.452</w:t>
            </w:r>
          </w:p>
        </w:tc>
        <w:tc>
          <w:tcPr>
            <w:tcW w:w="7800" w:type="dxa"/>
            <w:noWrap/>
          </w:tcPr>
          <w:p>
            <w:pPr>
              <w:jc w:val="start"/>
              <w:spacing w:before="0" w:after="0"/>
            </w:pPr>
            <w:r>
              <w:rPr/>
              <w:t xml:space="preserve">USD 1.708</w:t>
            </w:r>
          </w:p>
        </w:tc>
        <w:tc>
          <w:tcPr>
            <w:tcW w:w="7800" w:type="dxa"/>
            <w:noWrap/>
          </w:tcPr>
          <w:p>
            <w:pPr>
              <w:jc w:val="start"/>
              <w:spacing w:before="0" w:after="0"/>
            </w:pPr>
            <w:r>
              <w:rPr/>
              <w:t xml:space="preserve">USD 1.591</w:t>
            </w:r>
          </w:p>
        </w:tc>
      </w:tr>
      <w:tr>
        <w:trPr/>
        <w:tc>
          <w:tcPr>
            <w:tcW w:w="7800" w:type="dxa"/>
            <w:noWrap/>
          </w:tcPr>
          <w:p>
            <w:pPr>
              <w:jc w:val="start"/>
              <w:spacing w:before="0" w:after="0"/>
            </w:pPr>
            <w:r>
              <w:rPr/>
              <w:t xml:space="preserve">01/06 - 30/06</w:t>
            </w:r>
          </w:p>
        </w:tc>
        <w:tc>
          <w:tcPr>
            <w:tcW w:w="7800" w:type="dxa"/>
            <w:noWrap/>
          </w:tcPr>
          <w:p>
            <w:pPr>
              <w:jc w:val="start"/>
              <w:spacing w:before="0" w:after="0"/>
            </w:pPr>
            <w:r>
              <w:rPr/>
              <w:t xml:space="preserve">16/09 - 30/09</w:t>
            </w:r>
          </w:p>
        </w:tc>
        <w:tc>
          <w:tcPr>
            <w:tcW w:w="7800" w:type="dxa"/>
            <w:noWrap/>
          </w:tcPr>
          <w:p>
            <w:pPr>
              <w:jc w:val="start"/>
              <w:spacing w:before="0" w:after="0"/>
            </w:pPr>
            <w:r>
              <w:rPr/>
              <w:t xml:space="preserve">USD 2.672</w:t>
            </w:r>
          </w:p>
        </w:tc>
        <w:tc>
          <w:tcPr>
            <w:tcW w:w="7800" w:type="dxa"/>
            <w:noWrap/>
          </w:tcPr>
          <w:p>
            <w:pPr>
              <w:jc w:val="start"/>
              <w:spacing w:before="0" w:after="0"/>
            </w:pPr>
            <w:r>
              <w:rPr/>
              <w:t xml:space="preserve">USD 1.804</w:t>
            </w:r>
          </w:p>
        </w:tc>
        <w:tc>
          <w:tcPr>
            <w:tcW w:w="7800" w:type="dxa"/>
            <w:noWrap/>
          </w:tcPr>
          <w:p>
            <w:pPr>
              <w:jc w:val="start"/>
              <w:spacing w:before="0" w:after="0"/>
            </w:pPr>
            <w:r>
              <w:rPr/>
              <w:t xml:space="preserve">USD 1.686</w:t>
            </w:r>
          </w:p>
        </w:tc>
      </w:tr>
      <w:tr>
        <w:trPr/>
        <w:tc>
          <w:tcPr>
            <w:tcW w:w="7800" w:type="dxa"/>
            <w:noWrap/>
          </w:tcPr>
          <w:p>
            <w:pPr>
              <w:jc w:val="start"/>
              <w:spacing w:before="0" w:after="0"/>
            </w:pPr>
            <w:r>
              <w:rPr/>
              <w:t xml:space="preserve">01/07 - 20/07</w:t>
            </w:r>
          </w:p>
        </w:tc>
        <w:tc>
          <w:tcPr>
            <w:tcW w:w="7800" w:type="dxa"/>
            <w:noWrap/>
          </w:tcPr>
          <w:p>
            <w:pPr>
              <w:jc w:val="start"/>
              <w:spacing w:before="0" w:after="0"/>
            </w:pPr>
            <w:r>
              <w:rPr/>
              <w:t xml:space="preserve">27/08 - 15/09</w:t>
            </w:r>
          </w:p>
        </w:tc>
        <w:tc>
          <w:tcPr>
            <w:tcW w:w="7800" w:type="dxa"/>
            <w:noWrap/>
          </w:tcPr>
          <w:p>
            <w:pPr>
              <w:jc w:val="start"/>
              <w:spacing w:before="0" w:after="0"/>
            </w:pPr>
            <w:r>
              <w:rPr/>
              <w:t xml:space="preserve">USD 2.922</w:t>
            </w:r>
          </w:p>
        </w:tc>
        <w:tc>
          <w:tcPr>
            <w:tcW w:w="7800" w:type="dxa"/>
            <w:noWrap/>
          </w:tcPr>
          <w:p>
            <w:pPr>
              <w:jc w:val="start"/>
              <w:spacing w:before="0" w:after="0"/>
            </w:pPr>
            <w:r>
              <w:rPr/>
              <w:t xml:space="preserve">USD 1.899</w:t>
            </w:r>
          </w:p>
        </w:tc>
        <w:tc>
          <w:tcPr>
            <w:tcW w:w="7800" w:type="dxa"/>
            <w:noWrap/>
          </w:tcPr>
          <w:p>
            <w:pPr>
              <w:jc w:val="start"/>
              <w:spacing w:before="0" w:after="0"/>
            </w:pPr>
            <w:r>
              <w:rPr/>
              <w:t xml:space="preserve">USD 1.804</w:t>
            </w:r>
          </w:p>
        </w:tc>
      </w:tr>
      <w:tr>
        <w:trPr/>
        <w:tc>
          <w:tcPr>
            <w:tcW w:w="7800" w:type="dxa"/>
            <w:gridSpan w:val="2"/>
            <w:noWrap/>
          </w:tcPr>
          <w:p>
            <w:pPr>
              <w:jc w:val="start"/>
              <w:spacing w:before="0" w:after="0"/>
            </w:pPr>
            <w:r>
              <w:rPr/>
              <w:t xml:space="preserve">21/07 - 26/08</w:t>
            </w:r>
          </w:p>
        </w:tc>
        <w:tc>
          <w:tcPr>
            <w:tcW w:w="7800" w:type="dxa"/>
            <w:noWrap/>
          </w:tcPr>
          <w:p>
            <w:pPr>
              <w:jc w:val="start"/>
              <w:spacing w:before="0" w:after="0"/>
            </w:pPr>
            <w:r>
              <w:rPr/>
              <w:t xml:space="preserve">USD 3.112</w:t>
            </w:r>
          </w:p>
        </w:tc>
        <w:tc>
          <w:tcPr>
            <w:tcW w:w="7800" w:type="dxa"/>
            <w:noWrap/>
          </w:tcPr>
          <w:p>
            <w:pPr>
              <w:jc w:val="start"/>
              <w:spacing w:before="0" w:after="0"/>
            </w:pPr>
            <w:r>
              <w:rPr/>
              <w:t xml:space="preserve">USD 2.009</w:t>
            </w:r>
          </w:p>
        </w:tc>
        <w:tc>
          <w:tcPr>
            <w:tcW w:w="7800" w:type="dxa"/>
            <w:noWrap/>
          </w:tcPr>
          <w:p>
            <w:pPr>
              <w:jc w:val="start"/>
              <w:spacing w:before="0" w:after="0"/>
            </w:pPr>
            <w:r>
              <w:rPr/>
              <w:t xml:space="preserve">USD 1.870</w:t>
            </w:r>
          </w:p>
        </w:tc>
      </w:tr>
      <w:tr>
        <w:trPr/>
        <w:tc>
          <w:tcPr>
            <w:tcW w:w="7800" w:type="dxa"/>
            <w:gridSpan w:val="5"/>
            <w:noWrap/>
          </w:tcPr>
          <w:p>
            <w:pPr>
              <w:jc w:val="start"/>
              <w:spacing w:before="0" w:after="0"/>
            </w:pPr>
            <w:r>
              <w:rPr>
                <w:b w:val="1"/>
                <w:bCs w:val="1"/>
              </w:rPr>
              <w:t xml:space="preserve">TARIFA:</w:t>
            </w:r>
            <w:r>
              <w:rPr/>
              <w:t xml:space="preserve"> 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tc>
      </w:tr>
      <w:tr>
        <w:trPr/>
        <w:tc>
          <w:tcPr>
            <w:tcW w:w="7800" w:type="dxa"/>
            <w:gridSpan w:val="5"/>
            <w:noWrap/>
          </w:tcPr>
          <w:p>
            <w:pPr>
              <w:jc w:val="start"/>
              <w:spacing w:before="0" w:after="0"/>
            </w:pPr>
            <w:r>
              <w:rPr/>
              <w:t xml:space="preserve">*La acomodación en triple será c/ la adición de una cama extra portable una vez que los hoteles no suelen tener habitaciones con 3 camas en Turquía. *En caso de no recibir los datos de vuelo de llegada o salida hasta 07 días antes del tour no se podrá garantizar el servicio de traslados.</w:t>
            </w:r>
          </w:p>
        </w:tc>
      </w:tr>
      <w:tr>
        <w:trPr/>
        <w:tc>
          <w:tcPr>
            <w:tcW w:w="7800" w:type="dxa"/>
            <w:gridSpan w:val="5"/>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Hotel S* Class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Kusadasi (Nov-May)</w:t>
            </w:r>
          </w:p>
        </w:tc>
        <w:tc>
          <w:tcPr>
            <w:tcW w:w="7800" w:type="dxa"/>
            <w:noWrap/>
          </w:tcPr>
          <w:p>
            <w:pPr>
              <w:jc w:val="start"/>
              <w:spacing w:before="0" w:after="0"/>
            </w:pPr>
            <w:r>
              <w:rPr/>
              <w:t xml:space="preserve">Signature Blue Resort 5*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Izmir (May-Oct)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Atenas</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Básico</w:t>
            </w:r>
          </w:p>
        </w:tc>
      </w:tr>
      <w:tr>
        <w:trPr/>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Selección</w:t>
            </w:r>
          </w:p>
        </w:tc>
      </w:tr>
      <w:tr>
        <w:trPr/>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Superior</w:t>
            </w:r>
          </w:p>
        </w:tc>
      </w:tr>
      <w:tr>
        <w:trPr/>
        <w:tc>
          <w:tcPr>
            <w:tcW w:w="7800" w:type="dxa"/>
            <w:noWrap/>
          </w:tcPr>
          <w:p>
            <w:pPr>
              <w:jc w:val="start"/>
              <w:spacing w:before="0" w:after="0"/>
            </w:pPr>
            <w:r>
              <w:rPr/>
              <w:t xml:space="preserve">Hotel Athens Plaza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Mykonos</w:t>
            </w:r>
          </w:p>
        </w:tc>
        <w:tc>
          <w:tcPr>
            <w:tcW w:w="7800" w:type="dxa"/>
            <w:noWrap/>
          </w:tcPr>
          <w:p>
            <w:pPr>
              <w:jc w:val="start"/>
              <w:spacing w:before="0" w:after="0"/>
            </w:pPr>
            <w:r>
              <w:rPr/>
              <w:t xml:space="preserve">Hotel Olía o Similar.</w:t>
            </w:r>
          </w:p>
        </w:tc>
        <w:tc>
          <w:tcPr>
            <w:tcW w:w="7800" w:type="dxa"/>
            <w:noWrap/>
          </w:tcPr>
          <w:p>
            <w:pPr>
              <w:jc w:val="start"/>
              <w:spacing w:before="0" w:after="0"/>
            </w:pPr>
            <w:r>
              <w:rPr/>
              <w:t xml:space="preserve">Básico</w:t>
            </w:r>
          </w:p>
        </w:tc>
      </w:tr>
      <w:tr>
        <w:trPr/>
        <w:tc>
          <w:tcPr>
            <w:tcW w:w="7800" w:type="dxa"/>
            <w:noWrap/>
          </w:tcPr>
          <w:p>
            <w:pPr>
              <w:jc w:val="start"/>
              <w:spacing w:before="0" w:after="0"/>
            </w:pPr>
            <w:r>
              <w:rPr/>
              <w:t xml:space="preserve">Hotel Paolas Town o Similar.</w:t>
            </w:r>
          </w:p>
        </w:tc>
        <w:tc>
          <w:tcPr>
            <w:tcW w:w="7800" w:type="dxa"/>
            <w:noWrap/>
          </w:tcPr>
          <w:p>
            <w:pPr>
              <w:jc w:val="start"/>
              <w:spacing w:before="0" w:after="0"/>
            </w:pPr>
            <w:r>
              <w:rPr/>
              <w:t xml:space="preserve">Selección</w:t>
            </w:r>
          </w:p>
        </w:tc>
      </w:tr>
      <w:tr>
        <w:trPr/>
        <w:tc>
          <w:tcPr>
            <w:tcW w:w="7800" w:type="dxa"/>
            <w:noWrap/>
          </w:tcPr>
          <w:p>
            <w:pPr>
              <w:jc w:val="start"/>
              <w:spacing w:before="0" w:after="0"/>
            </w:pPr>
            <w:r>
              <w:rPr/>
              <w:t xml:space="preserve">Hotel Manoulas Beach o Similar.</w:t>
            </w:r>
          </w:p>
        </w:tc>
        <w:tc>
          <w:tcPr>
            <w:tcW w:w="7800" w:type="dxa"/>
            <w:noWrap/>
          </w:tcPr>
          <w:p>
            <w:pPr>
              <w:jc w:val="start"/>
              <w:spacing w:before="0" w:after="0"/>
            </w:pPr>
            <w:r>
              <w:rPr/>
              <w:t xml:space="preserve">Superior</w:t>
            </w:r>
          </w:p>
        </w:tc>
      </w:tr>
      <w:tr>
        <w:trPr/>
        <w:tc>
          <w:tcPr>
            <w:tcW w:w="7800" w:type="dxa"/>
            <w:noWrap/>
          </w:tcPr>
          <w:p>
            <w:pPr>
              <w:jc w:val="start"/>
              <w:spacing w:before="0" w:after="0"/>
            </w:pPr>
            <w:r>
              <w:rPr/>
              <w:t xml:space="preserve">Hotel Myconian Ambassador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Santorini</w:t>
            </w:r>
          </w:p>
        </w:tc>
        <w:tc>
          <w:tcPr>
            <w:tcW w:w="7800" w:type="dxa"/>
            <w:noWrap/>
          </w:tcPr>
          <w:p>
            <w:pPr>
              <w:jc w:val="start"/>
              <w:spacing w:before="0" w:after="0"/>
            </w:pPr>
            <w:r>
              <w:rPr/>
              <w:t xml:space="preserve">Hotel Kamari Beach o Similar.</w:t>
            </w:r>
          </w:p>
        </w:tc>
        <w:tc>
          <w:tcPr>
            <w:tcW w:w="7800" w:type="dxa"/>
            <w:noWrap/>
          </w:tcPr>
          <w:p>
            <w:pPr>
              <w:jc w:val="start"/>
              <w:spacing w:before="0" w:after="0"/>
            </w:pPr>
            <w:r>
              <w:rPr/>
              <w:t xml:space="preserve">Básico</w:t>
            </w:r>
          </w:p>
        </w:tc>
      </w:tr>
      <w:tr>
        <w:trPr/>
        <w:tc>
          <w:tcPr>
            <w:tcW w:w="7800" w:type="dxa"/>
            <w:noWrap/>
          </w:tcPr>
          <w:p>
            <w:pPr>
              <w:jc w:val="start"/>
              <w:spacing w:before="0" w:after="0"/>
            </w:pPr>
            <w:r>
              <w:rPr/>
              <w:t xml:space="preserve">Hotel Aegean Plaza o Similar.</w:t>
            </w:r>
          </w:p>
        </w:tc>
        <w:tc>
          <w:tcPr>
            <w:tcW w:w="7800" w:type="dxa"/>
            <w:noWrap/>
          </w:tcPr>
          <w:p>
            <w:pPr>
              <w:jc w:val="start"/>
              <w:spacing w:before="0" w:after="0"/>
            </w:pPr>
            <w:r>
              <w:rPr/>
              <w:t xml:space="preserve">Selección</w:t>
            </w:r>
          </w:p>
        </w:tc>
      </w:tr>
      <w:tr>
        <w:trPr/>
        <w:tc>
          <w:tcPr>
            <w:tcW w:w="7800" w:type="dxa"/>
            <w:noWrap/>
          </w:tcPr>
          <w:p>
            <w:pPr>
              <w:jc w:val="start"/>
              <w:spacing w:before="0" w:after="0"/>
            </w:pPr>
            <w:r>
              <w:rPr/>
              <w:t xml:space="preserve">Hotel El Greco o Similar.</w:t>
            </w:r>
          </w:p>
        </w:tc>
        <w:tc>
          <w:tcPr>
            <w:tcW w:w="7800" w:type="dxa"/>
            <w:noWrap/>
          </w:tcPr>
          <w:p>
            <w:pPr>
              <w:jc w:val="start"/>
              <w:spacing w:before="0" w:after="0"/>
            </w:pPr>
            <w:r>
              <w:rPr/>
              <w:t xml:space="preserve">Superior</w:t>
            </w:r>
          </w:p>
        </w:tc>
      </w:tr>
      <w:tr>
        <w:trPr/>
        <w:tc>
          <w:tcPr>
            <w:tcW w:w="7800" w:type="dxa"/>
            <w:noWrap/>
          </w:tcPr>
          <w:p>
            <w:pPr>
              <w:jc w:val="start"/>
              <w:spacing w:before="0" w:after="0"/>
            </w:pPr>
            <w:r>
              <w:rPr/>
              <w:t xml:space="preserve">Hotel Majestic o Similar.</w:t>
            </w:r>
          </w:p>
        </w:tc>
        <w:tc>
          <w:tcPr>
            <w:tcW w:w="7800" w:type="dxa"/>
            <w:noWrap/>
          </w:tcPr>
          <w:p>
            <w:pPr>
              <w:jc w:val="start"/>
              <w:spacing w:before="0" w:after="0"/>
            </w:pPr>
            <w:r>
              <w:rPr/>
              <w:t xml:space="preserve">Lujo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 en categoría seleccionada.</w:t>
      </w:r>
    </w:p>
    <w:p>
      <w:pPr>
        <w:numPr>
          <w:ilvl w:val="1"/>
          <w:numId w:val="2"/>
        </w:numPr>
      </w:pPr>
      <w:r>
        <w:rPr/>
        <w:t xml:space="preserve">02 noches de Alojamiento en Capadocia.</w:t>
      </w:r>
    </w:p>
    <w:p>
      <w:pPr>
        <w:numPr>
          <w:ilvl w:val="1"/>
          <w:numId w:val="2"/>
        </w:numPr>
      </w:pPr>
      <w:r>
        <w:rPr/>
        <w:t xml:space="preserve">01 noche de Alojamiento en Pamukkale.</w:t>
      </w:r>
    </w:p>
    <w:p>
      <w:pPr>
        <w:numPr>
          <w:ilvl w:val="1"/>
          <w:numId w:val="2"/>
        </w:numPr>
      </w:pPr>
      <w:r>
        <w:rPr/>
        <w:t xml:space="preserve">02 noches de Alojamiento en Kusadasi o Izmir de acuerdo con la temporada.</w:t>
      </w:r>
    </w:p>
    <w:p>
      <w:pPr>
        <w:numPr>
          <w:ilvl w:val="1"/>
          <w:numId w:val="2"/>
        </w:numPr>
      </w:pPr>
      <w:r>
        <w:rPr/>
        <w:t xml:space="preserve">Desayunos diarios, 05 cenas.</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Todos los servicios en plan Regular.</w:t>
      </w:r>
    </w:p>
    <w:p>
      <w:pPr>
        <w:numPr>
          <w:ilvl w:val="1"/>
          <w:numId w:val="2"/>
        </w:numPr>
      </w:pPr>
      <w:r>
        <w:rPr/>
        <w:t xml:space="preserve">Todos los traslados del Itinerario.</w:t>
      </w:r>
    </w:p>
    <w:p>
      <w:pPr>
        <w:numPr>
          <w:ilvl w:val="1"/>
          <w:numId w:val="2"/>
        </w:numPr>
      </w:pPr>
      <w:r>
        <w:rPr/>
        <w:t xml:space="preserve">2 noches en Atenas en régimen de alojamiento y desayuno.</w:t>
      </w:r>
    </w:p>
    <w:p>
      <w:pPr>
        <w:numPr>
          <w:ilvl w:val="1"/>
          <w:numId w:val="2"/>
        </w:numPr>
      </w:pPr>
      <w:r>
        <w:rPr/>
        <w:t xml:space="preserve">2 noches en Mykonos en régimen de alojamiento y desayuno.</w:t>
      </w:r>
    </w:p>
    <w:p>
      <w:pPr>
        <w:numPr>
          <w:ilvl w:val="1"/>
          <w:numId w:val="2"/>
        </w:numPr>
      </w:pPr>
      <w:r>
        <w:rPr/>
        <w:t xml:space="preserve">2 noches en Santorini en régimen de alojamiento y desayuno.</w:t>
      </w:r>
    </w:p>
    <w:p>
      <w:pPr>
        <w:numPr>
          <w:ilvl w:val="1"/>
          <w:numId w:val="2"/>
        </w:numPr>
      </w:pPr>
      <w:r>
        <w:rPr/>
        <w:t xml:space="preserve">Visita 1/2 Día: panorámica de Atenas y visita al recinto de Acrópolis, con guía oficial en español y entradas.</w:t>
      </w:r>
    </w:p>
    <w:p>
      <w:pPr>
        <w:numPr>
          <w:ilvl w:val="1"/>
          <w:numId w:val="2"/>
        </w:numPr>
      </w:pPr>
      <w:r>
        <w:rPr/>
        <w:t xml:space="preserve">Ferry PIREO/MYKONOS en clase económica numerada.</w:t>
      </w:r>
    </w:p>
    <w:p>
      <w:pPr>
        <w:numPr>
          <w:ilvl w:val="1"/>
          <w:numId w:val="2"/>
        </w:numPr>
      </w:pPr>
      <w:r>
        <w:rPr/>
        <w:t xml:space="preserve">Barco rápido MYKONOS/SANTORINI en clase económica numerada.</w:t>
      </w:r>
    </w:p>
    <w:p>
      <w:pPr>
        <w:numPr>
          <w:ilvl w:val="1"/>
          <w:numId w:val="2"/>
        </w:numPr>
      </w:pPr>
      <w:r>
        <w:rPr/>
        <w:t xml:space="preserve">Billete de avión: Santorini – Atenas, en clase económica. *</w:t>
      </w:r>
    </w:p>
    <w:p>
      <w:pPr>
        <w:numPr>
          <w:ilvl w:val="1"/>
          <w:numId w:val="2"/>
        </w:numPr>
      </w:pPr>
      <w:r>
        <w:rPr/>
        <w:t xml:space="preserve"/>
      </w:r>
    </w:p>
    <w:p>
      <w:pPr>
        <w:numPr>
          <w:ilvl w:val="1"/>
          <w:numId w:val="2"/>
        </w:numPr>
      </w:pPr>
      <w:r>
        <w:rPr/>
        <w:t xml:space="preserve">*El precio del pasaje aéreo incluido en el paquete está calculado con el valor de: 150,00 € p/p. En caso de aumento de su precio, el coste total del paquete incrementara correspondientemente. También en caso de que el precio del billete aéreo será inferior, la diferencia se descontara.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Propinas para el guía, chófer, etc. - se sugiere 5 USD por pax por día.</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para guías, maleteros u otro servicio no mencionado especificamente en el incluye.</w:t>
      </w:r>
    </w:p>
    <w:p>
      <w:pPr>
        <w:numPr>
          <w:ilvl w:val="1"/>
          <w:numId w:val="2"/>
        </w:numPr>
      </w:pPr>
      <w:r>
        <w:rPr/>
        <w:t xml:space="preserve">Impuesto de Alojamiento en Turquía por persona de acuerdo con la categoría, se paga directamente en destino.</w:t>
      </w:r>
    </w:p>
    <w:p>
      <w:pPr>
        <w:numPr>
          <w:ilvl w:val="1"/>
          <w:numId w:val="2"/>
        </w:numPr>
      </w:pPr>
      <w:r>
        <w:rPr/>
        <w:t xml:space="preserve">Categoría. Platino (Básico y Selección) – 15 USD.</w:t>
      </w:r>
    </w:p>
    <w:p>
      <w:pPr>
        <w:numPr>
          <w:ilvl w:val="1"/>
          <w:numId w:val="2"/>
        </w:numPr>
      </w:pPr>
      <w:r>
        <w:rPr/>
        <w:t xml:space="preserve">Categoría. Oro (Superior y Lujo) - 25 USD.</w:t>
      </w:r>
    </w:p>
    <w:p>
      <w:pPr>
        <w:numPr>
          <w:ilvl w:val="1"/>
          <w:numId w:val="2"/>
        </w:numPr>
      </w:pPr>
      <w:r>
        <w:rPr/>
        <w:t xml:space="preserve">Impuestos de resiliencia a la crisis climática según tipo de Alojamiento en Grecia (Se pagan directamente en el hotel)</w:t>
      </w:r>
    </w:p>
    <w:p>
      <w:pPr>
        <w:numPr>
          <w:ilvl w:val="1"/>
          <w:numId w:val="2"/>
        </w:numPr>
      </w:pPr>
      <w:r>
        <w:rPr/>
        <w:t xml:space="preserve">Hoteles 5*: 10 EUR P/habitación, por noche.</w:t>
      </w:r>
    </w:p>
    <w:p>
      <w:pPr>
        <w:numPr>
          <w:ilvl w:val="1"/>
          <w:numId w:val="2"/>
        </w:numPr>
      </w:pPr>
      <w:r>
        <w:rPr/>
        <w:t xml:space="preserve">Hoteles 4*: 7 EUR P/habitación, por noche.</w:t>
      </w:r>
    </w:p>
    <w:p>
      <w:pPr>
        <w:numPr>
          <w:ilvl w:val="1"/>
          <w:numId w:val="2"/>
        </w:numPr>
      </w:pPr>
      <w:r>
        <w:rPr/>
        <w:t xml:space="preserve">Hoteles 3*: 3 EUR P/habitación, por noche.</w:t>
      </w:r>
    </w:p>
    <w:p>
      <w:pPr>
        <w:numPr>
          <w:ilvl w:val="1"/>
          <w:numId w:val="2"/>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0BA9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0F47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2025-05-01T04:06:25+00:00</dcterms:created>
  <dcterms:modified xsi:type="dcterms:W3CDTF">2025-05-01T04:06:25+00:00</dcterms:modified>
</cp:coreProperties>
</file>

<file path=docProps/custom.xml><?xml version="1.0" encoding="utf-8"?>
<Properties xmlns="http://schemas.openxmlformats.org/officeDocument/2006/custom-properties" xmlns:vt="http://schemas.openxmlformats.org/officeDocument/2006/docPropsVTypes"/>
</file>