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JORDANIA 7N CON 1N WADI RUM Y 1N AMMAN                    </w:t>
      </w:r>
    </w:p>
    <w:p>
      <w:pPr/>
      <w:r>
        <w:rPr>
          <w:rFonts w:ascii="Arial" w:hAnsi="Arial" w:eastAsia="Arial" w:cs="Arial"/>
          <w:color w:val="light"/>
          <w:sz w:val="22"/>
          <w:szCs w:val="22"/>
          <w:b w:val="0"/>
          <w:bCs w:val="0"/>
        </w:rPr>
        <w:t xml:space="preserve">MTC - 28401</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Madaba, </w:t>
      </w:r>
      <w:r>
        <w:rPr/>
        <w:t xml:space="preserve">Monte Nebo, </w:t>
      </w:r>
      <w:r>
        <w:rPr/>
        <w:t xml:space="preserve">Karak, </w:t>
      </w:r>
      <w:r>
        <w:rPr/>
        <w:t xml:space="preserve">Shobak, </w:t>
      </w:r>
      <w:r>
        <w:rPr/>
        <w:t xml:space="preserve">Petra, </w:t>
      </w:r>
      <w:r>
        <w:rPr/>
        <w:t xml:space="preserve">Wadi Rum, </w:t>
      </w:r>
      <w:r>
        <w:rPr/>
        <w:t xml:space="preserve">Mar Muerto, </w:t>
      </w:r>
      <w:r>
        <w:rPr/>
        <w:t xml:space="preserve">Jerash, </w:t>
      </w:r>
      <w:r>
        <w:rPr/>
        <w:t xml:space="preserve">Ajloun,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AEROPUERTO REINA ALÍA DE AMMÁN (40 KM).</w:t>
      </w:r>
      <w:br/>
      <w:r>
        <w:rPr/>
        <w:t xml:space="preserve">Llegada a Ammán, capital de Jordania. Trámites de visado y traslado al hotel. Cena y alojamiento en el hotel.</w:t>
      </w:r>
    </w:p>
    <w:p>
      <w:pPr/>
      <w:r>
        <w:rPr>
          <w:b w:val="1"/>
          <w:bCs w:val="1"/>
        </w:rPr>
        <w:t xml:space="preserve">DÍA 02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03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04 (VIERNES) PETRA – PEQUEÑA PETRA – WADI RUM (195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Alojamiento y cena en el campamento de Wadi Rum.</w:t>
      </w:r>
    </w:p>
    <w:p>
      <w:pPr/>
      <w:r>
        <w:rPr>
          <w:b w:val="1"/>
          <w:bCs w:val="1"/>
        </w:rPr>
        <w:t xml:space="preserve">DÍA 05 (SÁBADO) WADI RUM – AMMÁN / SIN GUÍA (350 KM).</w:t>
      </w:r>
      <w:br/>
      <w:r>
        <w:rPr/>
        <w:t xml:space="preserve">Desayuno. Traslado a la hora conveniente a Ammán. Cena y alojamiento en el hotel.</w:t>
      </w:r>
    </w:p>
    <w:p>
      <w:pPr/>
      <w:r>
        <w:rPr>
          <w:b w:val="1"/>
          <w:bCs w:val="1"/>
        </w:rPr>
        <w:t xml:space="preserve">DÍA 06 (DOMINGO) AMMÁN</w:t>
      </w:r>
      <w:br/>
      <w:r>
        <w:rPr/>
        <w:t xml:space="preserve">Desayuno en el hotel. Dia libre. Cena y alojamiento en el hotel.</w:t>
      </w:r>
    </w:p>
    <w:p>
      <w:pPr/>
      <w:r>
        <w:rPr>
          <w:b w:val="1"/>
          <w:bCs w:val="1"/>
        </w:rPr>
        <w:t xml:space="preserve">DÍA 07 (LUNES) AMMÁN – JERASH – AJLOUN – AMMÁN (175 KM).</w:t>
      </w:r>
      <w:br/>
      <w:r>
        <w:rP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Ammán. Cena y alojamiento en el hotel.</w:t>
      </w:r>
    </w:p>
    <w:p>
      <w:pPr/>
      <w:r>
        <w:rPr>
          <w:b w:val="1"/>
          <w:bCs w:val="1"/>
        </w:rPr>
        <w:t xml:space="preserve">DÍA 08 (MARTES) AEROPUERTO REINA ALÍA DE AMMÁN (40 KM)</w:t>
      </w:r>
      <w:br/>
      <w:r>
        <w:rPr/>
        <w:t xml:space="preserve">Desayuno en el hotel de Ammán. Traslado al Aeropuerto.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5"/>
            <w:noWrap/>
          </w:tcPr>
          <w:p>
            <w:pPr>
              <w:jc w:val="start"/>
              <w:spacing w:before="0" w:after="0"/>
            </w:pPr>
            <w:r>
              <w:rPr>
                <w:b w:val="1"/>
                <w:bCs w:val="1"/>
              </w:rPr>
              <w:t xml:space="preserve">PROGRAMA MARAVILLAS DE JORDANIA 8D/7N</w:t>
            </w:r>
          </w:p>
        </w:tc>
      </w:tr>
      <w:tr>
        <w:trPr/>
        <w:tc>
          <w:tcPr>
            <w:tcW w:w="7800" w:type="dxa"/>
            <w:noWrap/>
          </w:tcPr>
          <w:p>
            <w:pPr>
              <w:jc w:val="start"/>
              <w:spacing w:before="0" w:after="0"/>
            </w:pPr>
            <w:r>
              <w:rPr>
                <w:b w:val="1"/>
                <w:bCs w:val="1"/>
              </w:rPr>
              <w:t xml:space="preserve">OPCIÓN</w:t>
            </w:r>
          </w:p>
        </w:tc>
        <w:tc>
          <w:tcPr>
            <w:tcW w:w="7800" w:type="dxa"/>
            <w:gridSpan w:val="2"/>
            <w:noWrap/>
          </w:tcPr>
          <w:p>
            <w:pPr>
              <w:jc w:val="start"/>
              <w:spacing w:before="0" w:after="0"/>
            </w:pPr>
            <w:r>
              <w:rPr>
                <w:b w:val="1"/>
                <w:bCs w:val="1"/>
              </w:rPr>
              <w:t xml:space="preserve">BAJA TEMPORADA</w:t>
            </w:r>
          </w:p>
        </w:tc>
        <w:tc>
          <w:tcPr>
            <w:tcW w:w="7800" w:type="dxa"/>
            <w:gridSpan w:val="2"/>
            <w:noWrap/>
          </w:tcPr>
          <w:p>
            <w:pPr>
              <w:jc w:val="start"/>
              <w:spacing w:before="0" w:after="0"/>
            </w:pPr>
            <w:r>
              <w:rPr>
                <w:b w:val="1"/>
                <w:bCs w:val="1"/>
              </w:rPr>
              <w:t xml:space="preserve">ALTA TEMPORADA</w:t>
            </w:r>
          </w:p>
        </w:tc>
      </w:tr>
      <w:tr>
        <w:trPr/>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 O 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1.687</w:t>
            </w:r>
          </w:p>
        </w:tc>
        <w:tc>
          <w:tcPr>
            <w:tcW w:w="7800" w:type="dxa"/>
            <w:noWrap/>
          </w:tcPr>
          <w:p>
            <w:pPr>
              <w:jc w:val="start"/>
              <w:spacing w:before="0" w:after="0"/>
            </w:pPr>
            <w:r>
              <w:rPr/>
              <w:t xml:space="preserve">2.340</w:t>
            </w:r>
          </w:p>
        </w:tc>
        <w:tc>
          <w:tcPr>
            <w:tcW w:w="7800" w:type="dxa"/>
            <w:noWrap/>
          </w:tcPr>
          <w:p>
            <w:pPr>
              <w:jc w:val="start"/>
              <w:spacing w:before="0" w:after="0"/>
            </w:pPr>
            <w:r>
              <w:rPr/>
              <w:t xml:space="preserve">1.380</w:t>
            </w:r>
          </w:p>
        </w:tc>
        <w:tc>
          <w:tcPr>
            <w:tcW w:w="7800" w:type="dxa"/>
            <w:noWrap/>
          </w:tcPr>
          <w:p>
            <w:pPr>
              <w:jc w:val="start"/>
              <w:spacing w:before="0" w:after="0"/>
            </w:pPr>
            <w:r>
              <w:rPr/>
              <w:t xml:space="preserve">1.980</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1.433</w:t>
            </w:r>
          </w:p>
        </w:tc>
        <w:tc>
          <w:tcPr>
            <w:tcW w:w="7800" w:type="dxa"/>
            <w:noWrap/>
          </w:tcPr>
          <w:p>
            <w:pPr>
              <w:jc w:val="start"/>
              <w:spacing w:before="0" w:after="0"/>
            </w:pPr>
            <w:r>
              <w:rPr/>
              <w:t xml:space="preserve">1.907</w:t>
            </w:r>
          </w:p>
        </w:tc>
        <w:tc>
          <w:tcPr>
            <w:tcW w:w="7800" w:type="dxa"/>
            <w:noWrap/>
          </w:tcPr>
          <w:p>
            <w:pPr>
              <w:jc w:val="start"/>
              <w:spacing w:before="0" w:after="0"/>
            </w:pPr>
            <w:r>
              <w:rPr/>
              <w:t xml:space="preserve">1.573</w:t>
            </w:r>
          </w:p>
        </w:tc>
        <w:tc>
          <w:tcPr>
            <w:tcW w:w="7800" w:type="dxa"/>
            <w:noWrap/>
          </w:tcPr>
          <w:p>
            <w:pPr>
              <w:jc w:val="start"/>
              <w:spacing w:before="0" w:after="0"/>
            </w:pPr>
            <w:r>
              <w:rPr/>
              <w:t xml:space="preserve">2.167</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1.293</w:t>
            </w:r>
          </w:p>
        </w:tc>
        <w:tc>
          <w:tcPr>
            <w:tcW w:w="7800" w:type="dxa"/>
            <w:noWrap/>
          </w:tcPr>
          <w:p>
            <w:pPr>
              <w:jc w:val="start"/>
              <w:spacing w:before="0" w:after="0"/>
            </w:pPr>
            <w:r>
              <w:rPr/>
              <w:t xml:space="preserve">1.753</w:t>
            </w:r>
          </w:p>
        </w:tc>
        <w:tc>
          <w:tcPr>
            <w:tcW w:w="7800" w:type="dxa"/>
            <w:noWrap/>
          </w:tcPr>
          <w:p>
            <w:pPr>
              <w:jc w:val="start"/>
              <w:spacing w:before="0" w:after="0"/>
            </w:pPr>
            <w:r>
              <w:rPr/>
              <w:t xml:space="preserve">1.440</w:t>
            </w:r>
          </w:p>
        </w:tc>
        <w:tc>
          <w:tcPr>
            <w:tcW w:w="7800" w:type="dxa"/>
            <w:noWrap/>
          </w:tcPr>
          <w:p>
            <w:pPr>
              <w:jc w:val="start"/>
              <w:spacing w:before="0" w:after="0"/>
            </w:pPr>
            <w:r>
              <w:rPr/>
              <w:t xml:space="preserve">1.973</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1.227</w:t>
            </w:r>
          </w:p>
        </w:tc>
        <w:tc>
          <w:tcPr>
            <w:tcW w:w="7800" w:type="dxa"/>
            <w:noWrap/>
          </w:tcPr>
          <w:p>
            <w:pPr>
              <w:jc w:val="start"/>
              <w:spacing w:before="0" w:after="0"/>
            </w:pPr>
            <w:r>
              <w:rPr/>
              <w:t xml:space="preserve">1.653</w:t>
            </w:r>
          </w:p>
        </w:tc>
        <w:tc>
          <w:tcPr>
            <w:tcW w:w="7800" w:type="dxa"/>
            <w:noWrap/>
          </w:tcPr>
          <w:p>
            <w:pPr>
              <w:jc w:val="start"/>
              <w:spacing w:before="0" w:after="0"/>
            </w:pPr>
            <w:r>
              <w:rPr/>
              <w:t xml:space="preserve">1.347</w:t>
            </w:r>
          </w:p>
        </w:tc>
        <w:tc>
          <w:tcPr>
            <w:tcW w:w="7800" w:type="dxa"/>
            <w:noWrap/>
          </w:tcPr>
          <w:p>
            <w:pPr>
              <w:jc w:val="start"/>
              <w:spacing w:before="0" w:after="0"/>
            </w:pPr>
            <w:r>
              <w:rPr/>
              <w:t xml:space="preserve">1.820</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1.173</w:t>
            </w:r>
          </w:p>
        </w:tc>
        <w:tc>
          <w:tcPr>
            <w:tcW w:w="7800" w:type="dxa"/>
            <w:noWrap/>
          </w:tcPr>
          <w:p>
            <w:pPr>
              <w:jc w:val="start"/>
              <w:spacing w:before="0" w:after="0"/>
            </w:pPr>
            <w:r>
              <w:rPr/>
              <w:t xml:space="preserve">1.547</w:t>
            </w:r>
          </w:p>
        </w:tc>
        <w:tc>
          <w:tcPr>
            <w:tcW w:w="7800" w:type="dxa"/>
            <w:noWrap/>
          </w:tcPr>
          <w:p>
            <w:pPr>
              <w:jc w:val="start"/>
              <w:spacing w:before="0" w:after="0"/>
            </w:pPr>
            <w:r>
              <w:rPr/>
              <w:t xml:space="preserve">1.213</w:t>
            </w:r>
          </w:p>
        </w:tc>
        <w:tc>
          <w:tcPr>
            <w:tcW w:w="7800" w:type="dxa"/>
            <w:noWrap/>
          </w:tcPr>
          <w:p>
            <w:pPr>
              <w:jc w:val="start"/>
              <w:spacing w:before="0" w:after="0"/>
            </w:pPr>
            <w:r>
              <w:rPr/>
              <w:t xml:space="preserve">1.613</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1.100</w:t>
            </w:r>
          </w:p>
        </w:tc>
        <w:tc>
          <w:tcPr>
            <w:tcW w:w="7800" w:type="dxa"/>
            <w:noWrap/>
          </w:tcPr>
          <w:p>
            <w:pPr>
              <w:jc w:val="start"/>
              <w:spacing w:before="0" w:after="0"/>
            </w:pPr>
            <w:r>
              <w:rPr/>
              <w:t xml:space="preserve">1.367</w:t>
            </w:r>
          </w:p>
        </w:tc>
        <w:tc>
          <w:tcPr>
            <w:tcW w:w="7800" w:type="dxa"/>
            <w:noWrap/>
          </w:tcPr>
          <w:p>
            <w:pPr>
              <w:jc w:val="start"/>
              <w:spacing w:before="0" w:after="0"/>
            </w:pPr>
            <w:r>
              <w:rPr/>
              <w:t xml:space="preserve">1.113</w:t>
            </w:r>
          </w:p>
        </w:tc>
        <w:tc>
          <w:tcPr>
            <w:tcW w:w="7800" w:type="dxa"/>
            <w:noWrap/>
          </w:tcPr>
          <w:p>
            <w:pPr>
              <w:jc w:val="start"/>
              <w:spacing w:before="0" w:after="0"/>
            </w:pPr>
            <w:r>
              <w:rPr/>
              <w:t xml:space="preserve">1.393</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1.013</w:t>
            </w:r>
          </w:p>
        </w:tc>
        <w:tc>
          <w:tcPr>
            <w:tcW w:w="7800" w:type="dxa"/>
            <w:noWrap/>
          </w:tcPr>
          <w:p>
            <w:pPr>
              <w:jc w:val="start"/>
              <w:spacing w:before="0" w:after="0"/>
            </w:pPr>
            <w:r>
              <w:rPr/>
              <w:t xml:space="preserve">1.193</w:t>
            </w:r>
          </w:p>
        </w:tc>
        <w:tc>
          <w:tcPr>
            <w:tcW w:w="7800" w:type="dxa"/>
            <w:noWrap/>
          </w:tcPr>
          <w:p>
            <w:pPr>
              <w:jc w:val="start"/>
              <w:spacing w:before="0" w:after="0"/>
            </w:pPr>
            <w:r>
              <w:rPr/>
              <w:t xml:space="preserve">1.040</w:t>
            </w:r>
          </w:p>
        </w:tc>
        <w:tc>
          <w:tcPr>
            <w:tcW w:w="7800" w:type="dxa"/>
            <w:noWrap/>
          </w:tcPr>
          <w:p>
            <w:pPr>
              <w:jc w:val="start"/>
              <w:spacing w:before="0" w:after="0"/>
            </w:pPr>
            <w:r>
              <w:rPr/>
              <w:t xml:space="preserve">1.233</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Se debe aplicar traslado adicional en caso de requerir noche extras o vuelos llegando de madrugada entre las 00:00hrs y las 06:00hrs.</w:t>
            </w:r>
          </w:p>
        </w:tc>
      </w:tr>
      <w:tr>
        <w:trPr/>
        <w:tc>
          <w:tcPr>
            <w:tcW w:w="7800" w:type="dxa"/>
            <w:gridSpan w:val="5"/>
            <w:noWrap/>
          </w:tcPr>
          <w:p>
            <w:pPr>
              <w:jc w:val="start"/>
              <w:spacing w:before="0" w:after="0"/>
            </w:pPr>
            <w:r>
              <w:rPr>
                <w:b w:val="1"/>
                <w:bCs w:val="1"/>
              </w:rPr>
              <w:t xml:space="preserve">POLITICA DE NIÑOS:</w:t>
            </w:r>
          </w:p>
          <w:p>
            <w:pPr>
              <w:numPr>
                <w:ilvl w:val="0"/>
                <w:numId w:val="1"/>
              </w:numPr>
            </w:pPr>
            <w:r>
              <w:rPr/>
              <w:t xml:space="preserve">Infantes menos de 3 años no pagan.</w:t>
            </w:r>
          </w:p>
          <w:p>
            <w:pPr>
              <w:numPr>
                <w:ilvl w:val="0"/>
                <w:numId w:val="1"/>
              </w:numPr>
            </w:pPr>
            <w:r>
              <w:rPr/>
              <w:t xml:space="preserve">Niños entre 4 a 11 años, aplica descuento del 25% alojándose en habitación de los padres con cama extra de acuerdo con disponibilidad del hotel.</w:t>
            </w:r>
          </w:p>
          <w:p>
            <w:pPr>
              <w:numPr>
                <w:ilvl w:val="0"/>
                <w:numId w:val="1"/>
              </w:numPr>
            </w:pPr>
            <w:r>
              <w:rPr/>
              <w:t xml:space="preserve">Máximo 2 niños compartiendo habitación con los padres en los hoteles a excepción de unos hoteles por consulta.</w:t>
            </w:r>
          </w:p>
          <w:p>
            <w:pPr>
              <w:numPr>
                <w:ilvl w:val="0"/>
                <w:numId w:val="1"/>
              </w:numPr>
            </w:pPr>
            <w:r>
              <w:rPr/>
              <w:t xml:space="preserve">Casi todos los hoteles en el Mar muerto solo aceptan habitaciones triples para 2 adultos y 1 niño menor de 11 años. (Consultar para más detalles).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2024 - 2025</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 17 Diciembre 2024</w:t>
            </w:r>
          </w:p>
        </w:tc>
        <w:tc>
          <w:tcPr>
            <w:tcW w:w="7800" w:type="dxa"/>
            <w:noWrap/>
          </w:tcPr>
          <w:p>
            <w:pPr>
              <w:jc w:val="start"/>
              <w:spacing w:before="0" w:after="0"/>
            </w:pPr>
            <w:r>
              <w:rPr/>
              <w:t xml:space="preserve">Octubre / Noviembre / 03, 24, 31 Diciembre 2024</w:t>
            </w:r>
          </w:p>
        </w:tc>
      </w:tr>
      <w:tr>
        <w:trPr/>
        <w:tc>
          <w:tcPr>
            <w:tcW w:w="7800" w:type="dxa"/>
            <w:noWrap/>
          </w:tcPr>
          <w:p>
            <w:pPr>
              <w:jc w:val="start"/>
              <w:spacing w:before="0" w:after="0"/>
            </w:pPr>
            <w:r>
              <w:rPr/>
              <w:t xml:space="preserve">Enero / 04, 11 Febrero. 2025</w:t>
            </w:r>
          </w:p>
        </w:tc>
        <w:tc>
          <w:tcPr>
            <w:tcW w:w="7800" w:type="dxa"/>
            <w:noWrap/>
          </w:tcPr>
          <w:p>
            <w:pPr>
              <w:jc w:val="start"/>
              <w:spacing w:before="0" w:after="0"/>
            </w:pPr>
            <w:r>
              <w:rPr/>
              <w:t xml:space="preserve">18, 25 Febrero. 2025</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18/06/2024. (Eid el Adha)</w:t>
            </w:r>
          </w:p>
        </w:tc>
        <w:tc>
          <w:tcPr>
            <w:tcW w:w="7800" w:type="dxa"/>
            <w:noWrap/>
          </w:tcPr>
          <w:p>
            <w:pPr>
              <w:jc w:val="start"/>
              <w:spacing w:before="0" w:after="0"/>
            </w:pPr>
            <w:r>
              <w:rPr/>
              <w:t xml:space="preserve">26/03/2024 (Catholic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09/04/2024 (Eid el Fiter)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30/04/2024 (Orthodox Easter)</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24/12/2024 (Christmas)</w:t>
            </w:r>
          </w:p>
        </w:tc>
      </w:tr>
      <w:tr>
        <w:trPr/>
        <w:tc>
          <w:tcPr>
            <w:tcW w:w="7800" w:type="dxa"/>
            <w:noWrap/>
          </w:tcPr>
          <w:p>
            <w:pPr>
              <w:jc w:val="start"/>
              <w:spacing w:before="0" w:after="0"/>
            </w:pPr>
            <w:r>
              <w:rPr/>
              <w:t xml:space="preserve">-</w:t>
            </w:r>
          </w:p>
        </w:tc>
        <w:tc>
          <w:tcPr>
            <w:tcW w:w="7800" w:type="dxa"/>
            <w:noWrap/>
          </w:tcPr>
          <w:p>
            <w:pPr>
              <w:jc w:val="start"/>
              <w:spacing w:before="0" w:after="0"/>
            </w:pPr>
            <w:r>
              <w:rPr/>
              <w:t xml:space="preserve">31/12/2024 (New Year)</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FECHAS DE TEMPORADAS BAJA Y ALTA CON SALIDAS MARTES 2025 - 2026</w:t>
            </w:r>
          </w:p>
        </w:tc>
      </w:tr>
      <w:tr>
        <w:trPr/>
        <w:tc>
          <w:tcPr>
            <w:tcW w:w="7800" w:type="dxa"/>
            <w:noWrap/>
          </w:tcPr>
          <w:p>
            <w:pPr>
              <w:jc w:val="start"/>
              <w:spacing w:before="0" w:after="0"/>
            </w:pPr>
            <w:r>
              <w:rPr>
                <w:b w:val="1"/>
                <w:bCs w:val="1"/>
              </w:rPr>
              <w:t xml:space="preserve">TEMPORADA BAJA</w:t>
            </w:r>
          </w:p>
        </w:tc>
        <w:tc>
          <w:tcPr>
            <w:tcW w:w="7800" w:type="dxa"/>
            <w:noWrap/>
          </w:tcPr>
          <w:p>
            <w:pPr>
              <w:jc w:val="start"/>
              <w:spacing w:before="0" w:after="0"/>
            </w:pPr>
            <w:r>
              <w:rPr>
                <w:b w:val="1"/>
                <w:bCs w:val="1"/>
              </w:rPr>
              <w:t xml:space="preserve">TEMPORADA ALTA</w:t>
            </w:r>
          </w:p>
        </w:tc>
      </w:tr>
      <w:tr>
        <w:trPr/>
        <w:tc>
          <w:tcPr>
            <w:tcW w:w="7800" w:type="dxa"/>
            <w:noWrap/>
          </w:tcPr>
          <w:p>
            <w:pPr>
              <w:jc w:val="start"/>
              <w:spacing w:before="0" w:after="0"/>
            </w:pPr>
            <w:r>
              <w:rPr/>
              <w:t xml:space="preserve">10.17.24.Junio / Julio / Agosto 2025</w:t>
            </w:r>
          </w:p>
        </w:tc>
        <w:tc>
          <w:tcPr>
            <w:tcW w:w="7800" w:type="dxa"/>
            <w:noWrap/>
          </w:tcPr>
          <w:p>
            <w:pPr>
              <w:jc w:val="start"/>
              <w:spacing w:before="0" w:after="0"/>
            </w:pPr>
            <w:r>
              <w:rPr/>
              <w:t xml:space="preserve">Marzo / Abril / Mayo / 03.Junio / Septiembre 2025</w:t>
            </w:r>
          </w:p>
        </w:tc>
      </w:tr>
      <w:tr>
        <w:trPr/>
        <w:tc>
          <w:tcPr>
            <w:tcW w:w="7800" w:type="dxa"/>
            <w:noWrap/>
          </w:tcPr>
          <w:p>
            <w:pPr>
              <w:jc w:val="start"/>
              <w:spacing w:before="0" w:after="0"/>
            </w:pPr>
            <w:r>
              <w:rPr/>
              <w:t xml:space="preserve">09, 16.Diciembre 2025</w:t>
            </w:r>
          </w:p>
        </w:tc>
        <w:tc>
          <w:tcPr>
            <w:tcW w:w="7800" w:type="dxa"/>
            <w:noWrap/>
          </w:tcPr>
          <w:p>
            <w:pPr>
              <w:jc w:val="start"/>
              <w:spacing w:before="0" w:after="0"/>
            </w:pPr>
            <w:r>
              <w:rPr/>
              <w:t xml:space="preserve">Octubre / Noviembre / 02.23.30.Diciembre 2025</w:t>
            </w:r>
          </w:p>
        </w:tc>
      </w:tr>
      <w:tr>
        <w:trPr/>
        <w:tc>
          <w:tcPr>
            <w:tcW w:w="7800" w:type="dxa"/>
            <w:noWrap/>
          </w:tcPr>
          <w:p>
            <w:pPr>
              <w:jc w:val="start"/>
              <w:spacing w:before="0" w:after="0"/>
            </w:pPr>
            <w:r>
              <w:rPr/>
              <w:t xml:space="preserve">Enero / 03.10.Febrero. 2026</w:t>
            </w:r>
          </w:p>
        </w:tc>
        <w:tc>
          <w:tcPr>
            <w:tcW w:w="7800" w:type="dxa"/>
            <w:noWrap/>
          </w:tcPr>
          <w:p>
            <w:pPr>
              <w:jc w:val="start"/>
              <w:spacing w:before="0" w:after="0"/>
            </w:pPr>
            <w:r>
              <w:rPr/>
              <w:t xml:space="preserve">17.24.Febrero. 2026</w:t>
            </w:r>
          </w:p>
        </w:tc>
      </w:tr>
      <w:tr>
        <w:trPr/>
        <w:tc>
          <w:tcPr>
            <w:tcW w:w="7800" w:type="dxa"/>
            <w:gridSpan w:val="2"/>
            <w:noWrap/>
          </w:tcPr>
          <w:p>
            <w:pPr>
              <w:jc w:val="start"/>
              <w:spacing w:before="0" w:after="0"/>
            </w:pPr>
            <w:r>
              <w:rPr/>
              <w:t xml:space="preserve">*Fechas marcadas en rojo; los hoteles sujetos a disponibilidad por las fiestas en mención: fiestas locales, semana santa, navidad.</w:t>
            </w:r>
          </w:p>
        </w:tc>
      </w:tr>
      <w:tr>
        <w:trPr/>
        <w:tc>
          <w:tcPr>
            <w:tcW w:w="7800" w:type="dxa"/>
            <w:noWrap/>
          </w:tcPr>
          <w:p>
            <w:pPr>
              <w:jc w:val="start"/>
              <w:spacing w:before="0" w:after="0"/>
            </w:pPr>
            <w:r>
              <w:rPr/>
              <w:t xml:space="preserve">10/06/2025 Eid el Adha</w:t>
            </w:r>
          </w:p>
        </w:tc>
        <w:tc>
          <w:tcPr>
            <w:tcW w:w="7800" w:type="dxa"/>
            <w:noWrap/>
          </w:tcPr>
          <w:p>
            <w:pPr>
              <w:jc w:val="start"/>
              <w:spacing w:before="0" w:after="0"/>
            </w:pPr>
            <w:r>
              <w:rPr/>
              <w:t xml:space="preserve">01/04/2025 Eid el Fiter</w:t>
            </w:r>
          </w:p>
        </w:tc>
      </w:tr>
      <w:tr>
        <w:trPr/>
        <w:tc>
          <w:tcPr>
            <w:tcW w:w="7800" w:type="dxa"/>
            <w:noWrap/>
          </w:tcPr>
          <w:p>
            <w:pPr/>
            <w:r>
              <w:rPr/>
              <w:t xml:space="preserve"> </w:t>
            </w:r>
          </w:p>
        </w:tc>
        <w:tc>
          <w:tcPr>
            <w:tcW w:w="7800" w:type="dxa"/>
            <w:noWrap/>
          </w:tcPr>
          <w:p>
            <w:pPr>
              <w:jc w:val="start"/>
              <w:spacing w:before="0" w:after="0"/>
            </w:pPr>
            <w:r>
              <w:rPr/>
              <w:t xml:space="preserve">23/12/2025 Christmas Week</w:t>
            </w:r>
          </w:p>
        </w:tc>
      </w:tr>
      <w:tr>
        <w:trPr/>
        <w:tc>
          <w:tcPr>
            <w:tcW w:w="7800" w:type="dxa"/>
            <w:noWrap/>
          </w:tcPr>
          <w:p>
            <w:pPr/>
            <w:r>
              <w:rPr/>
              <w:t xml:space="preserve"> </w:t>
            </w:r>
          </w:p>
        </w:tc>
        <w:tc>
          <w:tcPr>
            <w:tcW w:w="7800" w:type="dxa"/>
            <w:noWrap/>
          </w:tcPr>
          <w:p>
            <w:pPr>
              <w:jc w:val="start"/>
              <w:spacing w:before="0" w:after="0"/>
            </w:pPr>
            <w:r>
              <w:rPr/>
              <w:t xml:space="preserve">30/12/2025 New Year Week</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OPCIÓN</w:t>
            </w:r>
          </w:p>
        </w:tc>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Opción 1</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Crowne Plaza o similar.</w:t>
            </w:r>
          </w:p>
        </w:tc>
        <w:tc>
          <w:tcPr>
            <w:tcW w:w="7800" w:type="dxa"/>
            <w:noWrap/>
          </w:tcPr>
          <w:p>
            <w:pPr>
              <w:jc w:val="start"/>
              <w:spacing w:before="0" w:after="0"/>
            </w:pPr>
            <w:r>
              <w:rPr/>
              <w:t xml:space="preserve">Gran 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Old Village Resort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Opción 2</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Landmark / Movenpick o similar.</w:t>
            </w:r>
          </w:p>
        </w:tc>
        <w:tc>
          <w:tcPr>
            <w:tcW w:w="7800" w:type="dxa"/>
            <w:noWrap/>
          </w:tcPr>
          <w:p>
            <w:pPr>
              <w:jc w:val="start"/>
              <w:spacing w:before="0" w:after="0"/>
            </w:pPr>
            <w:r>
              <w:rPr/>
              <w:t xml:space="preserve">Lujo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Luxury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Opción 3</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Le Bristol / Centro Mada by Rotana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Moon / Petra Elite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Suncity Camp Deluxe Bedouin Tent With Prive Bathroom And AC o similar.</w:t>
            </w:r>
          </w:p>
        </w:tc>
      </w:tr>
      <w:tr>
        <w:trPr/>
        <w:tc>
          <w:tcPr>
            <w:tcW w:w="7800" w:type="dxa"/>
            <w:noWrap/>
          </w:tcPr>
          <w:p>
            <w:pPr>
              <w:jc w:val="start"/>
              <w:spacing w:before="0" w:after="0"/>
            </w:pPr>
            <w:r>
              <w:rPr/>
              <w:t xml:space="preserve">Opción 4</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Corp (Dry Hotel) / Coral Tower (Dry Hotel) o similar.</w:t>
            </w:r>
          </w:p>
        </w:tc>
        <w:tc>
          <w:tcPr>
            <w:tcW w:w="7800" w:type="dxa"/>
            <w:noWrap/>
          </w:tcPr>
          <w:p>
            <w:pPr>
              <w:jc w:val="start"/>
              <w:spacing w:before="0" w:after="0"/>
            </w:pPr>
            <w:r>
              <w:rPr/>
              <w:t xml:space="preserve">Primera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 / Sella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Opción 5</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Sulaf Luxury (Dry Hotel) / Kaya (Dry Hotel)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Petra Palace / Petra Corner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Opción 6</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 Days inn o similar.</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 Nomad Hotel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Aladdin Camp Deluxe Bedouin Tent With Private Bathroom And AC o similar.</w:t>
            </w:r>
          </w:p>
        </w:tc>
      </w:tr>
      <w:tr>
        <w:trPr/>
        <w:tc>
          <w:tcPr>
            <w:tcW w:w="7800" w:type="dxa"/>
            <w:noWrap/>
          </w:tcPr>
          <w:p>
            <w:pPr>
              <w:jc w:val="start"/>
              <w:spacing w:before="0" w:after="0"/>
            </w:pPr>
            <w:r>
              <w:rPr/>
              <w:t xml:space="preserve">Opción 7</w:t>
            </w:r>
          </w:p>
        </w:tc>
        <w:tc>
          <w:tcPr>
            <w:tcW w:w="7800" w:type="dxa"/>
            <w:noWrap/>
          </w:tcPr>
          <w:p>
            <w:pPr>
              <w:jc w:val="start"/>
              <w:spacing w:before="0" w:after="0"/>
            </w:pPr>
            <w:r>
              <w:rPr/>
              <w:t xml:space="preserve">Ammán</w:t>
            </w:r>
          </w:p>
        </w:tc>
        <w:tc>
          <w:tcPr>
            <w:tcW w:w="7800" w:type="dxa"/>
            <w:noWrap/>
          </w:tcPr>
          <w:p>
            <w:pPr>
              <w:jc w:val="start"/>
              <w:spacing w:before="0" w:after="0"/>
            </w:pPr>
            <w:r>
              <w:rPr/>
              <w:t xml:space="preserve">Olive Hotel (Dry Hotel) / Liwan o similar.</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Silk Road (Dry Hotel) / Seven Wonders (Dry Hotel) o similar.</w:t>
            </w:r>
          </w:p>
        </w:tc>
      </w:tr>
      <w:tr>
        <w:trPr/>
        <w:tc>
          <w:tcPr>
            <w:tcW w:w="7800" w:type="dxa"/>
            <w:noWrap/>
          </w:tcPr>
          <w:p>
            <w:pPr>
              <w:jc w:val="start"/>
              <w:spacing w:before="0" w:after="0"/>
            </w:pPr>
            <w:r>
              <w:rPr/>
              <w:t xml:space="preserve">Wadi Rum</w:t>
            </w:r>
          </w:p>
        </w:tc>
        <w:tc>
          <w:tcPr>
            <w:tcW w:w="7800" w:type="dxa"/>
            <w:noWrap/>
          </w:tcPr>
          <w:p>
            <w:pPr>
              <w:jc w:val="start"/>
              <w:spacing w:before="0" w:after="0"/>
            </w:pPr>
            <w:r>
              <w:rPr/>
              <w:t xml:space="preserve">Hillawi Camp Deluxe Bedouin Tent With Private Bathroom and AC o similar</w:t>
            </w:r>
          </w:p>
        </w:tc>
      </w:tr>
      <w:tr>
        <w:trPr/>
        <w:tc>
          <w:tcPr>
            <w:tcW w:w="7800" w:type="dxa"/>
            <w:gridSpan w:val="4"/>
            <w:noWrap/>
          </w:tcPr>
          <w:p>
            <w:pPr>
              <w:jc w:val="start"/>
              <w:spacing w:before="0" w:after="0"/>
            </w:pPr>
            <w:r>
              <w:rPr/>
              <w:t xml:space="preserve">Dry Hotel: Se refiere que el hotel no sirve alcohol.</w:t>
            </w:r>
          </w:p>
        </w:tc>
      </w:tr>
      <w:tr>
        <w:trPr/>
        <w:tc>
          <w:tcPr>
            <w:tcW w:w="7800" w:type="dxa"/>
            <w:gridSpan w:val="4"/>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(con representante) para gestionar visa free de entrada a Jordania.</w:t>
      </w:r>
    </w:p>
    <w:p>
      <w:pPr>
        <w:numPr>
          <w:ilvl w:val="1"/>
          <w:numId w:val="3"/>
        </w:numPr>
      </w:pPr>
      <w:r>
        <w:rPr/>
        <w:t xml:space="preserve">Traslados Aeropuerto – hotel – Aeropuerto.</w:t>
      </w:r>
    </w:p>
    <w:p>
      <w:pPr>
        <w:numPr>
          <w:ilvl w:val="1"/>
          <w:numId w:val="3"/>
        </w:numPr>
      </w:pPr>
      <w:r>
        <w:rPr/>
        <w:t xml:space="preserve">Tipo de transporte turístico nuevo de acuerdo número de participantes como menciona el itinerario con un equipaje y una maleta de mano por cada cliente.</w:t>
      </w:r>
    </w:p>
    <w:p>
      <w:pPr>
        <w:numPr>
          <w:ilvl w:val="1"/>
          <w:numId w:val="3"/>
        </w:numPr>
      </w:pPr>
      <w:r>
        <w:rPr/>
        <w:t xml:space="preserve">Alojamiento en habitación doble o twin con suplemento individual para habitación single en los hoteles seleccionados y campamento Wadi Rum en tienda privada con AC y baño privado.</w:t>
      </w:r>
    </w:p>
    <w:p>
      <w:pPr>
        <w:numPr>
          <w:ilvl w:val="1"/>
          <w:numId w:val="3"/>
        </w:numPr>
      </w:pPr>
      <w:r>
        <w:rPr/>
        <w:t xml:space="preserve">Media Pensión (desayuno y cena en el hotel sin bebidas): 4 noches Ammán, 2 noches Petra, 1 noche Wadi Rum.</w:t>
      </w:r>
    </w:p>
    <w:p>
      <w:pPr>
        <w:numPr>
          <w:ilvl w:val="1"/>
          <w:numId w:val="3"/>
        </w:numPr>
      </w:pPr>
      <w:r>
        <w:rPr/>
        <w:t xml:space="preserve">Visitas clásicas con entradas incluidas en el itinerario y recorrido de 2 horas en Jeep 4x4 (tour clásico) en Wadi Rum.</w:t>
      </w:r>
    </w:p>
    <w:p>
      <w:pPr>
        <w:numPr>
          <w:ilvl w:val="1"/>
          <w:numId w:val="3"/>
        </w:numPr>
      </w:pPr>
      <w:r>
        <w:rPr/>
        <w:t xml:space="preserve">Guía local acompañante de habla hispana para las visitas.</w:t>
      </w:r>
    </w:p>
    <w:p>
      <w:pPr>
        <w:numPr>
          <w:ilvl w:val="1"/>
          <w:numId w:val="3"/>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Almuerzos.</w:t>
      </w:r>
    </w:p>
    <w:p>
      <w:pPr>
        <w:numPr>
          <w:ilvl w:val="1"/>
          <w:numId w:val="3"/>
        </w:numPr>
      </w:pPr>
      <w:r>
        <w:rPr/>
        <w:t xml:space="preserve">Todo tipo de bebidas.</w:t>
      </w:r>
    </w:p>
    <w:p>
      <w:pPr>
        <w:numPr>
          <w:ilvl w:val="1"/>
          <w:numId w:val="3"/>
        </w:numPr>
      </w:pPr>
      <w:r>
        <w:rPr/>
        <w:t xml:space="preserve">Todo tipo de propinas y maleteros.</w:t>
      </w:r>
    </w:p>
    <w:p>
      <w:pPr>
        <w:numPr>
          <w:ilvl w:val="1"/>
          <w:numId w:val="3"/>
        </w:numPr>
      </w:pPr>
      <w:r>
        <w:rPr/>
        <w:t xml:space="preserve">Visado (Consultar para exención de visa free).</w:t>
      </w:r>
    </w:p>
    <w:p>
      <w:pPr>
        <w:numPr>
          <w:ilvl w:val="1"/>
          <w:numId w:val="3"/>
        </w:numPr>
      </w:pPr>
      <w:r>
        <w:rPr/>
        <w:t xml:space="preserve">Tasas de salida, en caso de que aplique.</w:t>
      </w:r>
    </w:p>
    <w:p>
      <w:pPr>
        <w:numPr>
          <w:ilvl w:val="1"/>
          <w:numId w:val="3"/>
        </w:numPr>
      </w:pPr>
      <w:r>
        <w:rPr/>
        <w:t xml:space="preserve">Algún otro servicio no mencionado en el programa.</w:t>
      </w:r>
    </w:p>
    <w:p>
      <w:pPr>
        <w:numPr>
          <w:ilvl w:val="1"/>
          <w:numId w:val="3"/>
        </w:numPr>
      </w:pPr>
      <w:r>
        <w:rPr/>
        <w:t xml:space="preserve">Suplemento año nuevo (para las salidas con estancia 31 de Diciembre y 1 de Enero)</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FE8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0E49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AB13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2025-05-25T22:25:18+00:00</dcterms:created>
  <dcterms:modified xsi:type="dcterms:W3CDTF">2025-05-25T22:25:18+00:00</dcterms:modified>
</cp:coreProperties>
</file>

<file path=docProps/custom.xml><?xml version="1.0" encoding="utf-8"?>
<Properties xmlns="http://schemas.openxmlformats.org/officeDocument/2006/custom-properties" xmlns:vt="http://schemas.openxmlformats.org/officeDocument/2006/docPropsVTypes"/>
</file>