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JORDANIA 4N                    </w:t>
      </w:r>
    </w:p>
    <w:p>
      <w:pPr/>
      <w:r>
        <w:rPr>
          <w:rFonts w:ascii="Arial" w:hAnsi="Arial" w:eastAsia="Arial" w:cs="Arial"/>
          <w:color w:val="light"/>
          <w:sz w:val="22"/>
          <w:szCs w:val="22"/>
          <w:b w:val="0"/>
          <w:bCs w:val="0"/>
        </w:rPr>
        <w:t xml:space="preserve">MTC - 28398</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$653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Amman, </w:t>
      </w:r>
      <w:r>
        <w:rPr/>
        <w:t xml:space="preserve">Madaba, </w:t>
      </w:r>
      <w:r>
        <w:rPr/>
        <w:t xml:space="preserve">Monte Nebo, </w:t>
      </w:r>
      <w:r>
        <w:rPr/>
        <w:t xml:space="preserve">Karak, </w:t>
      </w:r>
      <w:r>
        <w:rPr/>
        <w:t xml:space="preserve">Shobak, </w:t>
      </w:r>
      <w:r>
        <w:rPr/>
        <w:t xml:space="preserve">Petra, </w:t>
      </w:r>
      <w:r>
        <w:rPr/>
        <w:t xml:space="preserve">Wadi Rum, </w:t>
      </w:r>
      <w:r>
        <w:rPr/>
        <w:t xml:space="preserve">Aqaba,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AEROPUERTO REINA ALÍA DE AMMÁN (40 KM).</w:t>
      </w:r>
      <w:br/>
      <w:r>
        <w:rPr/>
        <w:t xml:space="preserve">Llegada a Ammán, capital de Jordania. Trámites de visado y traslado al hotel. Cena y alojamiento en el hotel.</w:t>
      </w:r>
    </w:p>
    <w:p>
      <w:pPr/>
      <w:r>
        <w:rPr>
          <w:b w:val="1"/>
          <w:bCs w:val="1"/>
        </w:rPr>
        <w:t xml:space="preserve">DÍA 02 (MIÉRCOLES) AMMÁN – MADABA – MONTE NEBO – KARAK O SHOBAK – PETRA (325 KM).</w:t>
      </w:r>
      <w:br/>
      <w:r>
        <w:rPr/>
        <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
      </w:r>
    </w:p>
    <w:p>
      <w:pPr/>
      <w:r>
        <w:rPr>
          <w:b w:val="1"/>
          <w:bCs w:val="1"/>
        </w:rPr>
        <w:t xml:space="preserve">DÍA 03 (JUEVES) PETRA (HOTELES 5-20 KM).</w:t>
      </w:r>
      <w:br/>
      <w:r>
        <w:rPr/>
        <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pPr/>
      <w:r>
        <w:rPr>
          <w:b w:val="1"/>
          <w:bCs w:val="1"/>
        </w:rPr>
        <w:t xml:space="preserve">DÍA 04 (VIERNES) PETRA – PEQUEÑA PETRA – WADI RUM – AQABA – AMMÁN (595 KM).</w:t>
      </w:r>
      <w:br/>
      <w:r>
        <w:rPr/>
        <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cliente. Las playas en Aqaba son privadas, pocas playas públicas con servicios básicos). Salida por carretera hacia Ammán. Cena y alojamiento en el hotel.</w:t>
      </w:r>
    </w:p>
    <w:p>
      <w:pPr/>
      <w:r>
        <w:rPr>
          <w:b w:val="1"/>
          <w:bCs w:val="1"/>
        </w:rPr>
        <w:t xml:space="preserve">DÍA 05 (SÁBADO) AEROPUERTO REINA ALÍA DE AMMÁN (40 KM).</w:t>
      </w:r>
      <w:br/>
      <w:r>
        <w:rPr/>
        <w:t xml:space="preserve">Desayuno en el hotel de Ammán.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5"/>
            <w:noWrap/>
          </w:tcPr>
          <w:p>
            <w:pPr>
              <w:jc w:val="start"/>
              <w:spacing w:before="0" w:after="0"/>
            </w:pPr>
            <w:r>
              <w:rPr>
                <w:b w:val="1"/>
                <w:bCs w:val="1"/>
              </w:rPr>
              <w:t xml:space="preserve">PROGRAMA MARAVILLAS DE JORDANIA 5D/4N</w:t>
            </w:r>
          </w:p>
        </w:tc>
      </w:tr>
      <w:tr>
        <w:trPr/>
        <w:tc>
          <w:tcPr>
            <w:tcW w:w="7800" w:type="dxa"/>
            <w:noWrap/>
          </w:tcPr>
          <w:p>
            <w:pPr>
              <w:jc w:val="start"/>
              <w:spacing w:before="0" w:after="0"/>
            </w:pPr>
            <w:r>
              <w:rPr>
                <w:b w:val="1"/>
                <w:bCs w:val="1"/>
              </w:rPr>
              <w:t xml:space="preserve">OPCIÓN</w:t>
            </w:r>
          </w:p>
        </w:tc>
        <w:tc>
          <w:tcPr>
            <w:tcW w:w="7800" w:type="dxa"/>
            <w:gridSpan w:val="2"/>
            <w:noWrap/>
          </w:tcPr>
          <w:p>
            <w:pPr>
              <w:jc w:val="start"/>
              <w:spacing w:before="0" w:after="0"/>
            </w:pPr>
            <w:r>
              <w:rPr>
                <w:b w:val="1"/>
                <w:bCs w:val="1"/>
              </w:rPr>
              <w:t xml:space="preserve">BAJA TEMPORADA</w:t>
            </w:r>
          </w:p>
        </w:tc>
        <w:tc>
          <w:tcPr>
            <w:tcW w:w="7800" w:type="dxa"/>
            <w:gridSpan w:val="2"/>
            <w:noWrap/>
          </w:tcPr>
          <w:p>
            <w:pPr>
              <w:jc w:val="start"/>
              <w:spacing w:before="0" w:after="0"/>
            </w:pPr>
            <w:r>
              <w:rPr>
                <w:b w:val="1"/>
                <w:bCs w:val="1"/>
              </w:rPr>
              <w:t xml:space="preserve">ALTA TEMPORADA</w:t>
            </w:r>
          </w:p>
        </w:tc>
      </w:tr>
      <w:tr>
        <w:trPr/>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1.093</w:t>
            </w:r>
          </w:p>
        </w:tc>
        <w:tc>
          <w:tcPr>
            <w:tcW w:w="7800" w:type="dxa"/>
            <w:noWrap/>
          </w:tcPr>
          <w:p>
            <w:pPr>
              <w:jc w:val="start"/>
              <w:spacing w:before="0" w:after="0"/>
            </w:pPr>
            <w:r>
              <w:rPr/>
              <w:t xml:space="preserve">1.567</w:t>
            </w:r>
          </w:p>
        </w:tc>
        <w:tc>
          <w:tcPr>
            <w:tcW w:w="7800" w:type="dxa"/>
            <w:noWrap/>
          </w:tcPr>
          <w:p>
            <w:pPr>
              <w:jc w:val="start"/>
              <w:spacing w:before="0" w:after="0"/>
            </w:pPr>
            <w:r>
              <w:rPr/>
              <w:t xml:space="preserve">1.227</w:t>
            </w:r>
          </w:p>
        </w:tc>
        <w:tc>
          <w:tcPr>
            <w:tcW w:w="7800" w:type="dxa"/>
            <w:noWrap/>
          </w:tcPr>
          <w:p>
            <w:pPr>
              <w:jc w:val="start"/>
              <w:spacing w:before="0" w:after="0"/>
            </w:pPr>
            <w:r>
              <w:rPr/>
              <w:t xml:space="preserve">1.787</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907</w:t>
            </w:r>
          </w:p>
        </w:tc>
        <w:tc>
          <w:tcPr>
            <w:tcW w:w="7800" w:type="dxa"/>
            <w:noWrap/>
          </w:tcPr>
          <w:p>
            <w:pPr>
              <w:jc w:val="start"/>
              <w:spacing w:before="0" w:after="0"/>
            </w:pPr>
            <w:r>
              <w:rPr/>
              <w:t xml:space="preserve">1.220</w:t>
            </w:r>
          </w:p>
        </w:tc>
        <w:tc>
          <w:tcPr>
            <w:tcW w:w="7800" w:type="dxa"/>
            <w:noWrap/>
          </w:tcPr>
          <w:p>
            <w:pPr>
              <w:jc w:val="start"/>
              <w:spacing w:before="0" w:after="0"/>
            </w:pPr>
            <w:r>
              <w:rPr/>
              <w:t xml:space="preserve">1.047</w:t>
            </w:r>
          </w:p>
        </w:tc>
        <w:tc>
          <w:tcPr>
            <w:tcW w:w="7800" w:type="dxa"/>
            <w:noWrap/>
          </w:tcPr>
          <w:p>
            <w:pPr>
              <w:jc w:val="start"/>
              <w:spacing w:before="0" w:after="0"/>
            </w:pPr>
            <w:r>
              <w:rPr/>
              <w:t xml:space="preserve">1.473</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807</w:t>
            </w:r>
          </w:p>
        </w:tc>
        <w:tc>
          <w:tcPr>
            <w:tcW w:w="7800" w:type="dxa"/>
            <w:noWrap/>
          </w:tcPr>
          <w:p>
            <w:pPr>
              <w:jc w:val="start"/>
              <w:spacing w:before="0" w:after="0"/>
            </w:pPr>
            <w:r>
              <w:rPr/>
              <w:t xml:space="preserve">1.107</w:t>
            </w:r>
          </w:p>
        </w:tc>
        <w:tc>
          <w:tcPr>
            <w:tcW w:w="7800" w:type="dxa"/>
            <w:noWrap/>
          </w:tcPr>
          <w:p>
            <w:pPr>
              <w:jc w:val="start"/>
              <w:spacing w:before="0" w:after="0"/>
            </w:pPr>
            <w:r>
              <w:rPr/>
              <w:t xml:space="preserve">947</w:t>
            </w:r>
          </w:p>
        </w:tc>
        <w:tc>
          <w:tcPr>
            <w:tcW w:w="7800" w:type="dxa"/>
            <w:noWrap/>
          </w:tcPr>
          <w:p>
            <w:pPr>
              <w:jc w:val="start"/>
              <w:spacing w:before="0" w:after="0"/>
            </w:pPr>
            <w:r>
              <w:rPr/>
              <w:t xml:space="preserve">1.313</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767</w:t>
            </w:r>
          </w:p>
        </w:tc>
        <w:tc>
          <w:tcPr>
            <w:tcW w:w="7800" w:type="dxa"/>
            <w:noWrap/>
          </w:tcPr>
          <w:p>
            <w:pPr>
              <w:jc w:val="start"/>
              <w:spacing w:before="0" w:after="0"/>
            </w:pPr>
            <w:r>
              <w:rPr/>
              <w:t xml:space="preserve">1.000</w:t>
            </w:r>
          </w:p>
        </w:tc>
        <w:tc>
          <w:tcPr>
            <w:tcW w:w="7800" w:type="dxa"/>
            <w:noWrap/>
          </w:tcPr>
          <w:p>
            <w:pPr>
              <w:jc w:val="start"/>
              <w:spacing w:before="0" w:after="0"/>
            </w:pPr>
            <w:r>
              <w:rPr/>
              <w:t xml:space="preserve">880</w:t>
            </w:r>
          </w:p>
        </w:tc>
        <w:tc>
          <w:tcPr>
            <w:tcW w:w="7800" w:type="dxa"/>
            <w:noWrap/>
          </w:tcPr>
          <w:p>
            <w:pPr>
              <w:jc w:val="start"/>
              <w:spacing w:before="0" w:after="0"/>
            </w:pPr>
            <w:r>
              <w:rPr/>
              <w:t xml:space="preserve">1.160</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740</w:t>
            </w:r>
          </w:p>
        </w:tc>
        <w:tc>
          <w:tcPr>
            <w:tcW w:w="7800" w:type="dxa"/>
            <w:noWrap/>
          </w:tcPr>
          <w:p>
            <w:pPr>
              <w:jc w:val="start"/>
              <w:spacing w:before="0" w:after="0"/>
            </w:pPr>
            <w:r>
              <w:rPr/>
              <w:t xml:space="preserve">920</w:t>
            </w:r>
          </w:p>
        </w:tc>
        <w:tc>
          <w:tcPr>
            <w:tcW w:w="7800" w:type="dxa"/>
            <w:noWrap/>
          </w:tcPr>
          <w:p>
            <w:pPr>
              <w:jc w:val="start"/>
              <w:spacing w:before="0" w:after="0"/>
            </w:pPr>
            <w:r>
              <w:rPr/>
              <w:t xml:space="preserve">780</w:t>
            </w:r>
          </w:p>
        </w:tc>
        <w:tc>
          <w:tcPr>
            <w:tcW w:w="7800" w:type="dxa"/>
            <w:noWrap/>
          </w:tcPr>
          <w:p>
            <w:pPr>
              <w:jc w:val="start"/>
              <w:spacing w:before="0" w:after="0"/>
            </w:pPr>
            <w:r>
              <w:rPr/>
              <w:t xml:space="preserve">987</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693</w:t>
            </w:r>
          </w:p>
        </w:tc>
        <w:tc>
          <w:tcPr>
            <w:tcW w:w="7800" w:type="dxa"/>
            <w:noWrap/>
          </w:tcPr>
          <w:p>
            <w:pPr>
              <w:jc w:val="start"/>
              <w:spacing w:before="0" w:after="0"/>
            </w:pPr>
            <w:r>
              <w:rPr/>
              <w:t xml:space="preserve">860</w:t>
            </w:r>
          </w:p>
        </w:tc>
        <w:tc>
          <w:tcPr>
            <w:tcW w:w="7800" w:type="dxa"/>
            <w:noWrap/>
          </w:tcPr>
          <w:p>
            <w:pPr>
              <w:jc w:val="start"/>
              <w:spacing w:before="0" w:after="0"/>
            </w:pPr>
            <w:r>
              <w:rPr/>
              <w:t xml:space="preserve">713</w:t>
            </w:r>
          </w:p>
        </w:tc>
        <w:tc>
          <w:tcPr>
            <w:tcW w:w="7800" w:type="dxa"/>
            <w:noWrap/>
          </w:tcPr>
          <w:p>
            <w:pPr>
              <w:jc w:val="start"/>
              <w:spacing w:before="0" w:after="0"/>
            </w:pPr>
            <w:r>
              <w:rPr/>
              <w:t xml:space="preserve">900</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653</w:t>
            </w:r>
          </w:p>
        </w:tc>
        <w:tc>
          <w:tcPr>
            <w:tcW w:w="7800" w:type="dxa"/>
            <w:noWrap/>
          </w:tcPr>
          <w:p>
            <w:pPr>
              <w:jc w:val="start"/>
              <w:spacing w:before="0" w:after="0"/>
            </w:pPr>
            <w:r>
              <w:rPr/>
              <w:t xml:space="preserve">773</w:t>
            </w:r>
          </w:p>
        </w:tc>
        <w:tc>
          <w:tcPr>
            <w:tcW w:w="7800" w:type="dxa"/>
            <w:noWrap/>
          </w:tcPr>
          <w:p>
            <w:pPr>
              <w:jc w:val="start"/>
              <w:spacing w:before="0" w:after="0"/>
            </w:pPr>
            <w:r>
              <w:rPr/>
              <w:t xml:space="preserve">667</w:t>
            </w:r>
          </w:p>
        </w:tc>
        <w:tc>
          <w:tcPr>
            <w:tcW w:w="7800" w:type="dxa"/>
            <w:noWrap/>
          </w:tcPr>
          <w:p>
            <w:pPr>
              <w:jc w:val="start"/>
              <w:spacing w:before="0" w:after="0"/>
            </w:pPr>
            <w:r>
              <w:rPr/>
              <w:t xml:space="preserve">800</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Se debe aplicar traslado adicional en caso de requerir noche extras o vuelos llegando de madrugada entre las 00:00hrs y las 06:00hrs.</w:t>
            </w:r>
          </w:p>
        </w:tc>
      </w:tr>
      <w:tr>
        <w:trPr/>
        <w:tc>
          <w:tcPr>
            <w:tcW w:w="7800" w:type="dxa"/>
            <w:gridSpan w:val="5"/>
            <w:noWrap/>
          </w:tcPr>
          <w:p>
            <w:pPr>
              <w:jc w:val="start"/>
              <w:spacing w:before="0" w:after="0"/>
            </w:pPr>
            <w:r>
              <w:rPr>
                <w:b w:val="1"/>
                <w:bCs w:val="1"/>
              </w:rPr>
              <w:t xml:space="preserve">POLITICA DE NIÑOS:</w:t>
            </w:r>
          </w:p>
          <w:p>
            <w:pPr>
              <w:numPr>
                <w:ilvl w:val="0"/>
                <w:numId w:val="1"/>
              </w:numPr>
            </w:pPr>
            <w:r>
              <w:rPr/>
              <w:t xml:space="preserve">Infantes menos de 3 años no pagan.</w:t>
            </w:r>
          </w:p>
          <w:p>
            <w:pPr>
              <w:numPr>
                <w:ilvl w:val="0"/>
                <w:numId w:val="1"/>
              </w:numPr>
            </w:pPr>
            <w:r>
              <w:rPr/>
              <w:t xml:space="preserve">Niños entre 4 a 11 años, aplica descuento del 25% alojándose en habitación de los padres con cama extra de acuerdo con disponibilidad del hotel.</w:t>
            </w:r>
          </w:p>
          <w:p>
            <w:pPr>
              <w:numPr>
                <w:ilvl w:val="0"/>
                <w:numId w:val="1"/>
              </w:numPr>
            </w:pPr>
            <w:r>
              <w:rPr/>
              <w:t xml:space="preserve">Máximo 2 niños compartiendo habitación con los padres en los hoteles a excepción de unos hoteles por consulta.</w:t>
            </w:r>
          </w:p>
          <w:p>
            <w:pPr>
              <w:numPr>
                <w:ilvl w:val="0"/>
                <w:numId w:val="1"/>
              </w:numPr>
            </w:pPr>
            <w:r>
              <w:rPr/>
              <w:t xml:space="preserve">Casi todos los hoteles en el Mar muerto solo aceptan habitaciones triples para 2 adultos y 1 niño menor de 11 años. (Consultar para más detalles).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2024 - 2025</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10, 17 Diciembre 2024</w:t>
            </w:r>
          </w:p>
        </w:tc>
        <w:tc>
          <w:tcPr>
            <w:tcW w:w="7800" w:type="dxa"/>
            <w:noWrap/>
          </w:tcPr>
          <w:p>
            <w:pPr>
              <w:jc w:val="start"/>
              <w:spacing w:before="0" w:after="0"/>
            </w:pPr>
            <w:r>
              <w:rPr/>
              <w:t xml:space="preserve">Octubre / Noviembre / 03, 24, 31 Diciembre 2024</w:t>
            </w:r>
          </w:p>
        </w:tc>
      </w:tr>
      <w:tr>
        <w:trPr/>
        <w:tc>
          <w:tcPr>
            <w:tcW w:w="7800" w:type="dxa"/>
            <w:noWrap/>
          </w:tcPr>
          <w:p>
            <w:pPr>
              <w:jc w:val="start"/>
              <w:spacing w:before="0" w:after="0"/>
            </w:pPr>
            <w:r>
              <w:rPr/>
              <w:t xml:space="preserve">Enero / 04, 11 Febrero. 2025</w:t>
            </w:r>
          </w:p>
        </w:tc>
        <w:tc>
          <w:tcPr>
            <w:tcW w:w="7800" w:type="dxa"/>
            <w:noWrap/>
          </w:tcPr>
          <w:p>
            <w:pPr>
              <w:jc w:val="start"/>
              <w:spacing w:before="0" w:after="0"/>
            </w:pPr>
            <w:r>
              <w:rPr/>
              <w:t xml:space="preserve">18, 25 Febrero. 2025</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18/06/2024. (Eid el Adha)</w:t>
            </w:r>
          </w:p>
        </w:tc>
        <w:tc>
          <w:tcPr>
            <w:tcW w:w="7800" w:type="dxa"/>
            <w:noWrap/>
          </w:tcPr>
          <w:p>
            <w:pPr>
              <w:jc w:val="start"/>
              <w:spacing w:before="0" w:after="0"/>
            </w:pPr>
            <w:r>
              <w:rPr/>
              <w:t xml:space="preserve">26/03/2024 (Catholic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09/04/2024 (Eid el Fiter)</w:t>
            </w:r>
          </w:p>
        </w:tc>
      </w:tr>
      <w:tr>
        <w:trPr/>
        <w:tc>
          <w:tcPr>
            <w:tcW w:w="7800" w:type="dxa"/>
            <w:noWrap/>
          </w:tcPr>
          <w:p>
            <w:pPr/>
            <w:r>
              <w:rPr/>
              <w:t xml:space="preserve"> </w:t>
            </w:r>
          </w:p>
        </w:tc>
        <w:tc>
          <w:tcPr>
            <w:tcW w:w="7800" w:type="dxa"/>
            <w:noWrap/>
          </w:tcPr>
          <w:p>
            <w:pPr>
              <w:jc w:val="start"/>
              <w:spacing w:before="0" w:after="0"/>
            </w:pPr>
            <w:r>
              <w:rPr/>
              <w:t xml:space="preserve">30/04/2024 (Orthodox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24/12/2024 (Christmas)</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31/12/2024 (New Year)</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2025 - 2026</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10.17.24.Junio / Julio / Agosto 2025</w:t>
            </w:r>
          </w:p>
        </w:tc>
        <w:tc>
          <w:tcPr>
            <w:tcW w:w="7800" w:type="dxa"/>
            <w:noWrap/>
          </w:tcPr>
          <w:p>
            <w:pPr>
              <w:jc w:val="start"/>
              <w:spacing w:before="0" w:after="0"/>
            </w:pPr>
            <w:r>
              <w:rPr/>
              <w:t xml:space="preserve">Marzo / Abril / Mayo / 03.Junio / Septiembre 2025</w:t>
            </w:r>
          </w:p>
        </w:tc>
      </w:tr>
      <w:tr>
        <w:trPr/>
        <w:tc>
          <w:tcPr>
            <w:tcW w:w="7800" w:type="dxa"/>
            <w:noWrap/>
          </w:tcPr>
          <w:p>
            <w:pPr>
              <w:jc w:val="start"/>
              <w:spacing w:before="0" w:after="0"/>
            </w:pPr>
            <w:r>
              <w:rPr/>
              <w:t xml:space="preserve">09, 16.Diciembre 2025</w:t>
            </w:r>
          </w:p>
        </w:tc>
        <w:tc>
          <w:tcPr>
            <w:tcW w:w="7800" w:type="dxa"/>
            <w:noWrap/>
          </w:tcPr>
          <w:p>
            <w:pPr>
              <w:jc w:val="start"/>
              <w:spacing w:before="0" w:after="0"/>
            </w:pPr>
            <w:r>
              <w:rPr/>
              <w:t xml:space="preserve">Octubre / Noviembre / 02.23.30.Diciembre 2025</w:t>
            </w:r>
          </w:p>
        </w:tc>
      </w:tr>
      <w:tr>
        <w:trPr/>
        <w:tc>
          <w:tcPr>
            <w:tcW w:w="7800" w:type="dxa"/>
            <w:noWrap/>
          </w:tcPr>
          <w:p>
            <w:pPr>
              <w:jc w:val="start"/>
              <w:spacing w:before="0" w:after="0"/>
            </w:pPr>
            <w:r>
              <w:rPr/>
              <w:t xml:space="preserve">Enero / 03.10.Febrero. 2026</w:t>
            </w:r>
          </w:p>
        </w:tc>
        <w:tc>
          <w:tcPr>
            <w:tcW w:w="7800" w:type="dxa"/>
            <w:noWrap/>
          </w:tcPr>
          <w:p>
            <w:pPr>
              <w:jc w:val="start"/>
              <w:spacing w:before="0" w:after="0"/>
            </w:pPr>
            <w:r>
              <w:rPr/>
              <w:t xml:space="preserve">17.24.Febrero. 2026</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10/06/2025 Eid el Adha</w:t>
            </w:r>
          </w:p>
        </w:tc>
        <w:tc>
          <w:tcPr>
            <w:tcW w:w="7800" w:type="dxa"/>
            <w:noWrap/>
          </w:tcPr>
          <w:p>
            <w:pPr>
              <w:jc w:val="start"/>
              <w:spacing w:before="0" w:after="0"/>
            </w:pPr>
            <w:r>
              <w:rPr/>
              <w:t xml:space="preserve">01/04/2025 Eid el Fiter</w:t>
            </w:r>
          </w:p>
        </w:tc>
      </w:tr>
      <w:tr>
        <w:trPr/>
        <w:tc>
          <w:tcPr>
            <w:tcW w:w="7800" w:type="dxa"/>
            <w:noWrap/>
          </w:tcPr>
          <w:p>
            <w:pPr/>
            <w:r>
              <w:rPr/>
              <w:t xml:space="preserve"> </w:t>
            </w:r>
          </w:p>
        </w:tc>
        <w:tc>
          <w:tcPr>
            <w:tcW w:w="7800" w:type="dxa"/>
            <w:noWrap/>
          </w:tcPr>
          <w:p>
            <w:pPr>
              <w:jc w:val="start"/>
              <w:spacing w:before="0" w:after="0"/>
            </w:pPr>
            <w:r>
              <w:rPr/>
              <w:t xml:space="preserve">23/12/2025 Christmas Week</w:t>
            </w:r>
          </w:p>
        </w:tc>
      </w:tr>
      <w:tr>
        <w:trPr/>
        <w:tc>
          <w:tcPr>
            <w:tcW w:w="7800" w:type="dxa"/>
            <w:noWrap/>
          </w:tcPr>
          <w:p>
            <w:pPr/>
            <w:r>
              <w:rPr/>
              <w:t xml:space="preserve"> </w:t>
            </w:r>
          </w:p>
        </w:tc>
        <w:tc>
          <w:tcPr>
            <w:tcW w:w="7800" w:type="dxa"/>
            <w:noWrap/>
          </w:tcPr>
          <w:p>
            <w:pPr>
              <w:jc w:val="start"/>
              <w:spacing w:before="0" w:after="0"/>
            </w:pPr>
            <w:r>
              <w:rPr/>
              <w:t xml:space="preserve">30/12/2025 New Year Week</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Crowne Plaza o similar.</w:t>
            </w:r>
          </w:p>
        </w:tc>
        <w:tc>
          <w:tcPr>
            <w:tcW w:w="7800" w:type="dxa"/>
            <w:noWrap/>
          </w:tcPr>
          <w:p>
            <w:pPr>
              <w:jc w:val="start"/>
              <w:spacing w:before="0" w:after="0"/>
            </w:pPr>
            <w:r>
              <w:rPr/>
              <w:t xml:space="preserve">Gran 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Old Village Resort (Dry Hotel) o similar.</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Landmark / Movenpick o similar.</w:t>
            </w:r>
          </w:p>
        </w:tc>
        <w:tc>
          <w:tcPr>
            <w:tcW w:w="7800" w:type="dxa"/>
            <w:noWrap/>
          </w:tcPr>
          <w:p>
            <w:pPr>
              <w:jc w:val="start"/>
              <w:spacing w:before="0" w:after="0"/>
            </w:pPr>
            <w:r>
              <w:rPr/>
              <w:t xml:space="preserve">Lujo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Moon Luxury (Dry Hotel) o similar.</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Le Bristol / Centro Mada by Rotana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Moon / Petra Elite (Dry Hotel) o similar.</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Corp (Dry Hotel) / Coral Tower (Dry Hotel) o similar.</w:t>
            </w:r>
          </w:p>
        </w:tc>
        <w:tc>
          <w:tcPr>
            <w:tcW w:w="7800" w:type="dxa"/>
            <w:noWrap/>
          </w:tcPr>
          <w:p>
            <w:pPr>
              <w:jc w:val="start"/>
              <w:spacing w:before="0" w:after="0"/>
            </w:pPr>
            <w:r>
              <w:rPr/>
              <w:t xml:space="preserve">Primera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 Quattro Relax Hotel (Dry Hotel) / Sella (Dry Hotel) o similar.</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Sulaf Luxury (Dry Hotel) / Kaya (Dry Hotel)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Palace / Petra Corner (Dry Hotel) o similar.</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Mena Tyche (Dry Hotel) / Days inn o similar.</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La MAison (Dry Hotel) / Nomad Hotel (Dry Hotel) o similar.</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Olive Hotel (Dry Hotel) / Liwan o similar.</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Silk Road (Dry Hotel) / Seven Wonders (Dry Hotel) o similar.</w:t>
            </w:r>
          </w:p>
        </w:tc>
      </w:tr>
      <w:tr>
        <w:trPr/>
        <w:tc>
          <w:tcPr>
            <w:tcW w:w="7800" w:type="dxa"/>
            <w:gridSpan w:val="4"/>
            <w:noWrap/>
          </w:tcPr>
          <w:p>
            <w:pPr>
              <w:jc w:val="start"/>
              <w:spacing w:before="0" w:after="0"/>
            </w:pPr>
            <w:r>
              <w:rPr/>
              <w:t xml:space="preserve">Dry Hotel: Se refiere que el hotel no sirve alcohol.</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Asistencia a la llegada (con representante) para gestionar visa free de entrada a Jordania.</w:t>
      </w:r>
    </w:p>
    <w:p>
      <w:pPr>
        <w:numPr>
          <w:ilvl w:val="1"/>
          <w:numId w:val="3"/>
        </w:numPr>
      </w:pPr>
      <w:r>
        <w:rPr/>
        <w:t xml:space="preserve">Traslados Aeropuerto – hotel – Aeropuerto.</w:t>
      </w:r>
    </w:p>
    <w:p>
      <w:pPr>
        <w:numPr>
          <w:ilvl w:val="1"/>
          <w:numId w:val="3"/>
        </w:numPr>
      </w:pPr>
      <w:r>
        <w:rPr/>
        <w:t xml:space="preserve">Tipo de transporte turístico nuevo de acuerdo número de participantes como menciona el itinerario con un equipaje y una maleta de mano por cada cliente.</w:t>
      </w:r>
    </w:p>
    <w:p>
      <w:pPr>
        <w:numPr>
          <w:ilvl w:val="1"/>
          <w:numId w:val="3"/>
        </w:numPr>
      </w:pPr>
      <w:r>
        <w:rPr/>
        <w:t xml:space="preserve">Alojamiento en habitación doble o twin con suplemento individual para habitación single en los hoteles seleccionados.</w:t>
      </w:r>
    </w:p>
    <w:p>
      <w:pPr>
        <w:numPr>
          <w:ilvl w:val="1"/>
          <w:numId w:val="3"/>
        </w:numPr>
      </w:pPr>
      <w:r>
        <w:rPr/>
        <w:t xml:space="preserve">Media Pensión (desayuno y cena en el hotel sin bebidas): 2 noches Ammán, 2 noches Petra.</w:t>
      </w:r>
    </w:p>
    <w:p>
      <w:pPr>
        <w:numPr>
          <w:ilvl w:val="1"/>
          <w:numId w:val="3"/>
        </w:numPr>
      </w:pPr>
      <w:r>
        <w:rPr/>
        <w:t xml:space="preserve">Visitas clásicas con entradas incluidas en el itinerario y recorrido de 2 horas en Jeep 4x4 (tour clásico) en Wadi Rum.</w:t>
      </w:r>
    </w:p>
    <w:p>
      <w:pPr>
        <w:numPr>
          <w:ilvl w:val="1"/>
          <w:numId w:val="3"/>
        </w:numPr>
      </w:pPr>
      <w:r>
        <w:rPr/>
        <w:t xml:space="preserve">Guía local acompañante de habla hispana para las visitas.</w:t>
      </w:r>
    </w:p>
    <w:p>
      <w:pPr>
        <w:numPr>
          <w:ilvl w:val="1"/>
          <w:numId w:val="3"/>
        </w:numPr>
      </w:pPr>
      <w:r>
        <w:rPr/>
        <w:t xml:space="preserve">Visado Free de una solada entrada a Jordania; A la llegada (Aplican condiciones y restricciones).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Almuerzos.</w:t>
      </w:r>
    </w:p>
    <w:p>
      <w:pPr>
        <w:numPr>
          <w:ilvl w:val="1"/>
          <w:numId w:val="3"/>
        </w:numPr>
      </w:pPr>
      <w:r>
        <w:rPr/>
        <w:t xml:space="preserve">Todo tipo de bebidas.</w:t>
      </w:r>
    </w:p>
    <w:p>
      <w:pPr>
        <w:numPr>
          <w:ilvl w:val="1"/>
          <w:numId w:val="3"/>
        </w:numPr>
      </w:pPr>
      <w:r>
        <w:rPr/>
        <w:t xml:space="preserve">Todo tipo de propinas y maleteros.</w:t>
      </w:r>
    </w:p>
    <w:p>
      <w:pPr>
        <w:numPr>
          <w:ilvl w:val="1"/>
          <w:numId w:val="3"/>
        </w:numPr>
      </w:pPr>
      <w:r>
        <w:rPr/>
        <w:t xml:space="preserve">Visado (Consultar para exención de visa free).</w:t>
      </w:r>
    </w:p>
    <w:p>
      <w:pPr>
        <w:numPr>
          <w:ilvl w:val="1"/>
          <w:numId w:val="3"/>
        </w:numPr>
      </w:pPr>
      <w:r>
        <w:rPr/>
        <w:t xml:space="preserve">Tasas de salida, en caso de que aplique.</w:t>
      </w:r>
    </w:p>
    <w:p>
      <w:pPr>
        <w:numPr>
          <w:ilvl w:val="1"/>
          <w:numId w:val="3"/>
        </w:numPr>
      </w:pPr>
      <w:r>
        <w:rPr/>
        <w:t xml:space="preserve">Algún otro servicio no mencionado en el programa.</w:t>
      </w:r>
    </w:p>
    <w:p>
      <w:pPr>
        <w:numPr>
          <w:ilvl w:val="1"/>
          <w:numId w:val="3"/>
        </w:numPr>
      </w:pPr>
      <w:r>
        <w:rPr/>
        <w:t xml:space="preserve">Suplemento año nuevo (para las salidas con estancia 31 de Diciembre y 1 de Enero)</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32944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BFD69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14455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2025-05-01T04:03:53+00:00</dcterms:created>
  <dcterms:modified xsi:type="dcterms:W3CDTF">2025-05-01T04:03:53+00:00</dcterms:modified>
</cp:coreProperties>
</file>

<file path=docProps/custom.xml><?xml version="1.0" encoding="utf-8"?>
<Properties xmlns="http://schemas.openxmlformats.org/officeDocument/2006/custom-properties" xmlns:vt="http://schemas.openxmlformats.org/officeDocument/2006/docPropsVTypes"/>
</file>