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CLÁSICO                    </w:t>
      </w:r>
    </w:p>
    <w:p>
      <w:pPr/>
      <w:r>
        <w:rPr>
          <w:rFonts w:ascii="Arial" w:hAnsi="Arial" w:eastAsia="Arial" w:cs="Arial"/>
          <w:color w:val="light"/>
          <w:sz w:val="22"/>
          <w:szCs w:val="22"/>
          <w:b w:val="0"/>
          <w:bCs w:val="0"/>
        </w:rPr>
        <w:t xml:space="preserve">MTC - 28227</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w:t>
      </w:r>
      <w:r>
        <w:rPr/>
        <w:t xml:space="preserve">de Dubái (DXB). </w:t>
      </w:r>
      <w:r>
        <w:rPr/>
        <w:t xml:space="preserve">Asistencia por parte de nuestro personal y traslado al hotel. </w:t>
      </w:r>
      <w:r>
        <w:rPr>
          <w:b w:val="1"/>
          <w:bCs w:val="1"/>
        </w:rPr>
        <w:t xml:space="preserve">Alojamiento.</w:t>
      </w:r>
      <w:r>
        <w:rPr/>
        <w:t xml:space="preserve"> </w:t>
      </w:r>
    </w:p>
    <w:p>
      <w:pPr/>
      <w:r>
        <w:rPr>
          <w:b w:val="1"/>
          <w:bCs w:val="1"/>
        </w:rPr>
        <w:t xml:space="preserve">DÍA 02     </w:t>
      </w:r>
      <w:br/>
      <w:r>
        <w:rPr>
          <w:b w:val="1"/>
          <w:bCs w:val="1"/>
        </w:rPr>
        <w:t xml:space="preserve">DUBÁI CLÁSICO</w:t>
      </w:r>
      <w:br/>
      <w:r>
        <w:rPr>
          <w:b w:val="1"/>
          <w:bCs w:val="1"/>
        </w:rPr>
        <w:t xml:space="preserve">DESAYUNO. </w:t>
      </w:r>
      <w:r>
        <w:rPr/>
        <w:t xml:space="preserve">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vuelta al hotel. </w:t>
      </w:r>
      <w:r>
        <w:rPr>
          <w:b w:val="1"/>
          <w:bCs w:val="1"/>
        </w:rPr>
        <w:t xml:space="preserve">Alojamiento.</w:t>
      </w:r>
    </w:p>
    <w:p>
      <w:pPr/>
      <w:br/>
      <w:r>
        <w:rPr>
          <w:b w:val="1"/>
          <w:bCs w:val="1"/>
        </w:rPr>
        <w:t xml:space="preserve">DÍA 03     </w:t>
      </w:r>
      <w:br/>
      <w:r>
        <w:rPr>
          <w:b w:val="1"/>
          <w:bCs w:val="1"/>
        </w:rPr>
        <w:t xml:space="preserve">SAFARI EN 4X4 / CENA BBQ</w:t>
      </w:r>
      <w:br/>
      <w:r>
        <w:rPr>
          <w:b w:val="1"/>
          <w:bCs w:val="1"/>
        </w:rPr>
        <w:t xml:space="preserve">DESAYUNO. </w:t>
      </w:r>
      <w:r>
        <w:rPr/>
        <w:t xml:space="preserve">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Skii por la arena y el pintarse con Henna, también se encuentran incluidos, al igual que el agua, refrescos, te y café. Regreso al hotel. </w:t>
      </w:r>
      <w:r>
        <w:rPr>
          <w:b w:val="1"/>
          <w:bCs w:val="1"/>
        </w:rPr>
        <w:t xml:space="preserve">Alojamiento.</w:t>
      </w:r>
    </w:p>
    <w:p>
      <w:pPr/>
      <w:br/>
      <w:r>
        <w:rPr>
          <w:b w:val="1"/>
          <w:bCs w:val="1"/>
        </w:rPr>
        <w:t xml:space="preserve">DÍA 4 </w:t>
      </w:r>
      <w:br/>
      <w:r>
        <w:rPr>
          <w:b w:val="1"/>
          <w:bCs w:val="1"/>
        </w:rPr>
        <w:t xml:space="preserve">DUBÁI</w:t>
      </w:r>
      <w:br/>
      <w:r>
        <w:rPr>
          <w:b w:val="1"/>
          <w:bCs w:val="1"/>
        </w:rPr>
        <w:t xml:space="preserve">DESAYUNO. </w:t>
      </w:r>
      <w:r>
        <w:rPr/>
        <w:t xml:space="preserve">A la hora acordada traslado al aeropuerto para tomar su vuelo de regreso.</w:t>
      </w:r>
      <w:b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DISPONIBLIDAD AL MOMENTO DE HACER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280</w:t>
            </w:r>
          </w:p>
          <w:p>
            <w:pPr>
              <w:jc w:val="start"/>
              <w:spacing w:before="0" w:after="0"/>
            </w:pPr>
          </w:p>
        </w:tc>
        <w:tc>
          <w:tcPr>
            <w:tcW w:w="7800" w:type="dxa"/>
            <w:noWrap/>
          </w:tcPr>
          <w:p>
            <w:pPr>
              <w:jc w:val="start"/>
              <w:spacing w:before="0" w:after="0"/>
            </w:pPr>
            <w:r>
              <w:rPr/>
              <w:t xml:space="preserve">380</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300</w:t>
            </w:r>
          </w:p>
          <w:p>
            <w:pPr>
              <w:jc w:val="start"/>
              <w:spacing w:before="0" w:after="0"/>
            </w:pPr>
          </w:p>
        </w:tc>
        <w:tc>
          <w:tcPr>
            <w:tcW w:w="7800" w:type="dxa"/>
            <w:noWrap/>
          </w:tcPr>
          <w:p>
            <w:pPr>
              <w:jc w:val="start"/>
              <w:spacing w:before="0" w:after="0"/>
            </w:pPr>
            <w:r>
              <w:rPr/>
              <w:t xml:space="preserve">420</w:t>
            </w:r>
          </w:p>
          <w:p>
            <w:pPr>
              <w:jc w:val="start"/>
              <w:spacing w:before="0" w:after="0"/>
            </w:pPr>
          </w:p>
        </w:tc>
      </w:tr>
      <w:tr>
        <w:trPr/>
        <w:tc>
          <w:tcPr>
            <w:tcW w:w="7800" w:type="dxa"/>
            <w:noWrap/>
          </w:tcPr>
          <w:p>
            <w:pPr>
              <w:jc w:val="start"/>
              <w:spacing w:before="0" w:after="0"/>
            </w:pPr>
            <w:r>
              <w:rPr/>
              <w:t xml:space="preserve">4* - Superior</w:t>
            </w:r>
          </w:p>
          <w:p>
            <w:pPr>
              <w:jc w:val="start"/>
              <w:spacing w:before="0" w:after="0"/>
            </w:pPr>
          </w:p>
        </w:tc>
        <w:tc>
          <w:tcPr>
            <w:tcW w:w="7800" w:type="dxa"/>
            <w:noWrap/>
          </w:tcPr>
          <w:p>
            <w:pPr>
              <w:jc w:val="start"/>
              <w:spacing w:before="0" w:after="0"/>
            </w:pPr>
            <w:r>
              <w:rPr/>
              <w:t xml:space="preserve">313</w:t>
            </w:r>
          </w:p>
          <w:p>
            <w:pPr>
              <w:jc w:val="start"/>
              <w:spacing w:before="0" w:after="0"/>
            </w:pPr>
          </w:p>
        </w:tc>
        <w:tc>
          <w:tcPr>
            <w:tcW w:w="7800" w:type="dxa"/>
            <w:noWrap/>
          </w:tcPr>
          <w:p>
            <w:pPr>
              <w:jc w:val="start"/>
              <w:spacing w:before="0" w:after="0"/>
            </w:pPr>
            <w:r>
              <w:rPr/>
              <w:t xml:space="preserve">447</w:t>
            </w:r>
          </w:p>
          <w:p>
            <w:pPr>
              <w:jc w:val="start"/>
              <w:spacing w:before="0" w:after="0"/>
            </w:pPr>
          </w:p>
        </w:tc>
      </w:tr>
      <w:tr>
        <w:trPr/>
        <w:tc>
          <w:tcPr>
            <w:tcW w:w="7800" w:type="dxa"/>
            <w:noWrap/>
          </w:tcPr>
          <w:p>
            <w:pPr>
              <w:jc w:val="start"/>
              <w:spacing w:before="0" w:after="0"/>
            </w:pPr>
            <w:r>
              <w:rPr/>
              <w:t xml:space="preserve">5* - Primera</w:t>
            </w:r>
          </w:p>
          <w:p>
            <w:pPr>
              <w:jc w:val="start"/>
              <w:spacing w:before="0" w:after="0"/>
            </w:pPr>
          </w:p>
        </w:tc>
        <w:tc>
          <w:tcPr>
            <w:tcW w:w="7800" w:type="dxa"/>
            <w:noWrap/>
          </w:tcPr>
          <w:p>
            <w:pPr>
              <w:jc w:val="start"/>
              <w:spacing w:before="0" w:after="0"/>
            </w:pPr>
            <w:r>
              <w:rPr/>
              <w:t xml:space="preserve">347</w:t>
            </w:r>
          </w:p>
          <w:p>
            <w:pPr>
              <w:jc w:val="start"/>
              <w:spacing w:before="0" w:after="0"/>
            </w:pPr>
          </w:p>
        </w:tc>
        <w:tc>
          <w:tcPr>
            <w:tcW w:w="7800" w:type="dxa"/>
            <w:noWrap/>
          </w:tcPr>
          <w:p>
            <w:pPr>
              <w:jc w:val="start"/>
              <w:spacing w:before="0" w:after="0"/>
            </w:pPr>
            <w:r>
              <w:rPr/>
              <w:t xml:space="preserve">513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360</w:t>
            </w:r>
          </w:p>
          <w:p>
            <w:pPr>
              <w:jc w:val="start"/>
              <w:spacing w:before="0" w:after="0"/>
            </w:pPr>
          </w:p>
        </w:tc>
        <w:tc>
          <w:tcPr>
            <w:tcW w:w="7800" w:type="dxa"/>
            <w:noWrap/>
          </w:tcPr>
          <w:p>
            <w:pPr>
              <w:jc w:val="start"/>
              <w:spacing w:before="0" w:after="0"/>
            </w:pPr>
            <w:r>
              <w:rPr/>
              <w:t xml:space="preserve">547</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b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r>
        <w:trPr/>
        <w:tc>
          <w:tcPr>
            <w:tcW w:w="7800" w:type="dxa"/>
            <w:noWrap/>
          </w:tcPr>
          <w:p>
            <w:pPr>
              <w:jc w:val="start"/>
              <w:spacing w:before="0" w:after="0"/>
            </w:pPr>
            <w:r>
              <w:rPr/>
              <w:t xml:space="preserve">5* Lujo</w:t>
            </w:r>
          </w:p>
          <w:p>
            <w:pPr>
              <w:jc w:val="start"/>
              <w:spacing w:before="0" w:after="0"/>
            </w:pPr>
          </w:p>
        </w:tc>
        <w:tc>
          <w:tcPr>
            <w:tcW w:w="7800" w:type="dxa"/>
            <w:noWrap/>
          </w:tcPr>
          <w:p>
            <w:pPr>
              <w:jc w:val="start"/>
              <w:spacing w:before="0" w:after="0"/>
            </w:pPr>
            <w:r>
              <w:rPr/>
              <w:t xml:space="preserve">Paramount Dubai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lunes y miércoles).</w:t>
      </w:r>
    </w:p>
    <w:p>
      <w:pPr>
        <w:numPr>
          <w:ilvl w:val="1"/>
          <w:numId w:val="1"/>
        </w:numPr>
      </w:pPr>
      <w:r>
        <w:rPr/>
        <w:t xml:space="preserve">Safari en 4x4 con Cena BBQ con conductor de habla inglés.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ED2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2025-05-01T01:35:14+00:00</dcterms:created>
  <dcterms:modified xsi:type="dcterms:W3CDTF">2025-05-01T01:35:14+00:00</dcterms:modified>
</cp:coreProperties>
</file>

<file path=docProps/custom.xml><?xml version="1.0" encoding="utf-8"?>
<Properties xmlns="http://schemas.openxmlformats.org/officeDocument/2006/custom-properties" xmlns:vt="http://schemas.openxmlformats.org/officeDocument/2006/docPropsVTypes"/>
</file>