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DUBAI Y ABU DHABI                    </w:t>
      </w:r>
    </w:p>
    <w:p>
      <w:pPr/>
      <w:r>
        <w:rPr>
          <w:rFonts w:ascii="Arial" w:hAnsi="Arial" w:eastAsia="Arial" w:cs="Arial"/>
          <w:color w:val="light"/>
          <w:sz w:val="22"/>
          <w:szCs w:val="22"/>
          <w:b w:val="0"/>
          <w:bCs w:val="0"/>
        </w:rPr>
        <w:t xml:space="preserve">MTC - 28192</w:t>
      </w:r>
    </w:p>
    <w:p>
      <w:pPr/>
      <w:r>
        <w:rPr>
          <w:rFonts w:ascii="Arial" w:hAnsi="Arial" w:eastAsia="Arial" w:cs="Arial"/>
          <w:color w:val="light"/>
          <w:sz w:val="22"/>
          <w:szCs w:val="22"/>
          <w:b w:val="0"/>
          <w:bCs w:val="0"/>
        </w:rPr>
        <w:t xml:space="preserve">6 Días y 5 Noches</w:t>
      </w:r>
    </w:p>
    <w:p/>
    <w:p/>
    <w:p>
      <w:pPr>
        <w:jc w:val="center"/>
        <w:spacing w:before="450"/>
      </w:pPr>
      <w:r>
        <w:rPr>
          <w:sz w:val="40.5"/>
          <w:szCs w:val="40.5"/>
        </w:rPr>
        <w:t xml:space="preserve">Desde $620</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Emiratos Árabes Unidos,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Dubái, </w:t>
      </w:r>
      <w:r>
        <w:rPr/>
        <w:t xml:space="preserve">Abu Dhabi,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w:t>
      </w:r>
      <w:br/>
      <w:r>
        <w:rPr>
          <w:b w:val="1"/>
          <w:bCs w:val="1"/>
        </w:rPr>
        <w:t xml:space="preserve">DUBÁI</w:t>
      </w:r>
      <w:br/>
      <w:r>
        <w:rPr/>
        <w:t xml:space="preserve">Llegada en vuelo internacional al aeropuerto de Dubái (DXB). Asistencia por parte de nuestro personal y traslado al hotel. </w:t>
      </w:r>
      <w:r>
        <w:rPr>
          <w:b w:val="1"/>
          <w:bCs w:val="1"/>
        </w:rPr>
        <w:t xml:space="preserve">Alojamiento.  </w:t>
      </w:r>
    </w:p>
    <w:p>
      <w:pPr/>
      <w:br/>
      <w:r>
        <w:rPr>
          <w:b w:val="1"/>
          <w:bCs w:val="1"/>
        </w:rPr>
        <w:t xml:space="preserve">DÍA 02     </w:t>
      </w:r>
      <w:br/>
      <w:r>
        <w:rPr>
          <w:b w:val="1"/>
          <w:bCs w:val="1"/>
        </w:rPr>
        <w:t xml:space="preserve">DUBÁI </w:t>
      </w:r>
      <w:br/>
      <w:r>
        <w:rPr>
          <w:b w:val="1"/>
          <w:bCs w:val="1"/>
        </w:rPr>
        <w:t xml:space="preserve">DESAYUNO</w:t>
      </w:r>
      <w:r>
        <w:rPr/>
        <w:t xml:space="preserve">. Este recorrido le llevará hasta las magníficas vistas de la ensenada de Dubái Creek, pasando por el área de patrimonio de Bastakiya y sus fascinantes casas antiguas con características torres de viento construidas por ricos mercaderes. A continuación, le llevaremos a la fortaleza de Al Fahidi de 225 años de antigüedad. Es aquí donde el museo de Dubái conserva valiosos archivos acerca del pasado de la ciudad, así como crónicas de sus diferentes fases de desarrollo. Luego subirán abordo de un barco tradicional Abra para atravesar la ensenada y visitar el mercado de especias y el zoco del oro. Luego por la carretera de Jumeirah, vistas de la Mezquita de Jumeirah. Parada para fotos en el Burj al Arab el único hotel 7 estrellas en el mundo. Pasaremos por el Burj Khalifa, el edificio más alto del mundo, el World Trade Center y el Centro Internacional Financiero. </w:t>
      </w:r>
      <w:r>
        <w:rPr>
          <w:b w:val="1"/>
          <w:bCs w:val="1"/>
        </w:rPr>
        <w:t xml:space="preserve">Alojamiento.</w:t>
      </w:r>
    </w:p>
    <w:p>
      <w:pPr/>
      <w:br/>
      <w:r>
        <w:rPr>
          <w:b w:val="1"/>
          <w:bCs w:val="1"/>
        </w:rPr>
        <w:t xml:space="preserve">DÍA 03     </w:t>
      </w:r>
      <w:br/>
      <w:r>
        <w:rPr>
          <w:b w:val="1"/>
          <w:bCs w:val="1"/>
        </w:rPr>
        <w:t xml:space="preserve">DUBÁI /ABU DHABI.</w:t>
      </w:r>
      <w:br/>
      <w:r>
        <w:rPr>
          <w:b w:val="1"/>
          <w:bCs w:val="1"/>
        </w:rPr>
        <w:t xml:space="preserve">DESAYUNO</w:t>
      </w:r>
      <w:r>
        <w:rPr/>
        <w:t xml:space="preserve">, Recorrido de 2 horas desde Dubái, pasando por el puerto Jebel Ali, el puerto más grande del mundo realizado por los hombres, hasta la capital de los Emiratos. Parada para tomar fotos en la Residencia Jazirra, ex residencia del Jeque Zayed. Admiraremos la Mezquita del Jeque Zayed, la 3ra más grande del mundo, así como la tumba de este, antiguo presidente de los Emiratos y padre de la nación. Continuación hasta el puente de Al Maqta pasando por una de las áreas más ricas de Abu Dhabi, el Área de los ministros. Llegada a la calle Corniche que es comparada con Manhattan. Parada para fotos en el hotel Emirates Palace.   Este   hotel tiene su propio helipuerto y puerto, conocido como el caro construido. Continuamos a Al Batee Área, donde se encuentran los palacios de la familia Real.</w:t>
      </w:r>
      <w:r>
        <w:rPr>
          <w:b w:val="1"/>
          <w:bCs w:val="1"/>
        </w:rPr>
        <w:t xml:space="preserve">  Alojamiento en Abu Dhabi.</w:t>
      </w:r>
    </w:p>
    <w:p>
      <w:pPr/>
      <w:br/>
      <w:r>
        <w:rPr>
          <w:b w:val="1"/>
          <w:bCs w:val="1"/>
        </w:rPr>
        <w:t xml:space="preserve">DÍA 04     </w:t>
      </w:r>
      <w:br/>
      <w:r>
        <w:rPr>
          <w:b w:val="1"/>
          <w:bCs w:val="1"/>
        </w:rPr>
        <w:t xml:space="preserve">ABU DHABI</w:t>
      </w:r>
      <w:br/>
      <w:r>
        <w:rPr>
          <w:b w:val="1"/>
          <w:bCs w:val="1"/>
        </w:rPr>
        <w:t xml:space="preserve">DESAYUNO.</w:t>
      </w:r>
      <w:r>
        <w:rPr/>
        <w:t xml:space="preserve"> Dia Libre. </w:t>
      </w:r>
      <w:r>
        <w:rPr>
          <w:b w:val="1"/>
          <w:bCs w:val="1"/>
        </w:rPr>
        <w:t xml:space="preserve">Alojamiento en Abu Dhabi.</w:t>
      </w:r>
    </w:p>
    <w:p>
      <w:pPr/>
      <w:br/>
      <w:r>
        <w:rPr>
          <w:b w:val="1"/>
          <w:bCs w:val="1"/>
        </w:rPr>
        <w:t xml:space="preserve">DÍA 05 </w:t>
      </w:r>
      <w:br/>
      <w:r>
        <w:rPr>
          <w:b w:val="1"/>
          <w:bCs w:val="1"/>
        </w:rPr>
        <w:t xml:space="preserve">ABU DHABI – DUBÁI – SAFARI EN 4X4 CON CENA BBQ</w:t>
      </w:r>
      <w:br/>
      <w:r>
        <w:rPr>
          <w:b w:val="1"/>
          <w:bCs w:val="1"/>
        </w:rPr>
        <w:t xml:space="preserve">DESAYUNO.</w:t>
      </w:r>
      <w:r>
        <w:rPr/>
        <w:t xml:space="preserve"> Salida por carretera de regreso a Dubái.</w:t>
      </w:r>
    </w:p>
    <w:p>
      <w:pPr/>
      <w:r>
        <w:rPr/>
        <w:t xml:space="preserve">Por la tarde, salida en la excursión más popular. Los Land Cruisers (6 personas por vehículo) los recogerán para un excitante trayecto por las fantásticas altas dunas. Podrá hacer unas fotos únicas de la puesta de sol árabe. Una vez que desaparezca el sol, detrás de las dunas de arena dorada, nos dirigiremos a nuestro Campo en el Desierto, donde se disfrutará de una </w:t>
      </w:r>
      <w:r>
        <w:rPr>
          <w:b w:val="1"/>
          <w:bCs w:val="1"/>
        </w:rPr>
        <w:t xml:space="preserve">cena </w:t>
      </w:r>
      <w:r>
        <w:rPr/>
        <w:t xml:space="preserve">y los relajantes sonidos de la música árabe. Después de haber repuesto fuerzas tras la cena, una bailarina, le mostrara el antiguo arte de la Danza del Vientre. Pintarse con Henna, también se encuentra incluido, al igual que el agua, refrescos, te y café. Regreso al hotel. </w:t>
      </w:r>
      <w:r>
        <w:rPr>
          <w:b w:val="1"/>
          <w:bCs w:val="1"/>
        </w:rPr>
        <w:t xml:space="preserve">Alojamiento.</w:t>
      </w:r>
    </w:p>
    <w:p>
      <w:pPr/>
      <w:br/>
      <w:r>
        <w:rPr>
          <w:b w:val="1"/>
          <w:bCs w:val="1"/>
        </w:rPr>
        <w:t xml:space="preserve">DÍA 6 </w:t>
      </w:r>
      <w:br/>
      <w:r>
        <w:rPr>
          <w:b w:val="1"/>
          <w:bCs w:val="1"/>
        </w:rPr>
        <w:t xml:space="preserve">DUBÁI.</w:t>
      </w:r>
      <w:br/>
      <w:r>
        <w:rPr>
          <w:b w:val="1"/>
          <w:bCs w:val="1"/>
        </w:rPr>
        <w:t xml:space="preserve">DESAYUNO.</w:t>
      </w:r>
      <w:r>
        <w:rPr/>
        <w:t xml:space="preserve"> A la hora acordada traslado al aeropuerto para tomar su vuelo de regreso. </w:t>
      </w:r>
      <w:r>
        <w:rPr>
          <w:b w:val="1"/>
          <w:bCs w:val="1"/>
        </w:rPr>
        <w:t xml:space="preserve">FIN DE LOS SERVICIOS.</w:t>
      </w:r>
    </w:p>
    <w:p>
      <w:pPr/>
      <w:br/>
      <w:r>
        <w:rPr>
          <w:b w:val="1"/>
          <w:bCs w:val="1"/>
        </w:rPr>
        <w:t xml:space="preserve">NOTAS IMPORTANTES:</w:t>
      </w:r>
    </w:p>
    <w:p>
      <w:pP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REFERENCIALES POR PERSONA EN DÓLARES AMERICANOS</w:t>
      </w:r>
      <w:br/>
      <w:r>
        <w:rPr>
          <w:b w:val="1"/>
          <w:bCs w:val="1"/>
        </w:rPr>
        <w:t xml:space="preserve">Sujetos a cambios sin previo aviso y disponibilidad al momento de la reserva</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gridSpan w:val="3"/>
            <w:noWrap/>
          </w:tcPr>
          <w:p>
            <w:pPr>
              <w:jc w:val="start"/>
              <w:spacing w:before="0" w:after="0"/>
            </w:pPr>
            <w:r>
              <w:rPr>
                <w:color w:val="ffffff"/>
                <w:sz w:val="21"/>
                <w:szCs w:val="21"/>
                <w:b w:val="0"/>
                <w:bCs w:val="0"/>
                <w:shd w:val="clear" w:fill="152441"/>
              </w:rPr>
              <w:t xml:space="preserve">VIGENCIA DEL 01 DE MAYO AL 20 DE SEPTIEMBRE 2025</w:t>
            </w:r>
            <w:br/>
            <w:r>
              <w:rPr>
                <w:color w:val="ffffff"/>
                <w:sz w:val="21"/>
                <w:szCs w:val="21"/>
                <w:b w:val="0"/>
                <w:bCs w:val="0"/>
                <w:shd w:val="clear" w:fill="152441"/>
              </w:rPr>
              <w:t xml:space="preserve">Excepto temporada alta</w:t>
            </w:r>
          </w:p>
        </w:tc>
      </w:tr>
      <w:tr>
        <w:trPr/>
        <w:tc>
          <w:tcPr>
            <w:tcW w:w="7800" w:type="dxa"/>
            <w:noWrap/>
          </w:tcPr>
          <w:p>
            <w:pPr>
              <w:jc w:val="start"/>
              <w:spacing w:before="0" w:after="0"/>
            </w:pPr>
            <w:r>
              <w:rPr>
                <w:b w:val="1"/>
                <w:bCs w:val="1"/>
              </w:rPr>
              <w:t xml:space="preserve">CATEGORIA</w:t>
            </w:r>
          </w:p>
        </w:tc>
        <w:tc>
          <w:tcPr>
            <w:tcW w:w="7800" w:type="dxa"/>
            <w:noWrap/>
          </w:tcPr>
          <w:p>
            <w:pPr>
              <w:jc w:val="start"/>
              <w:spacing w:before="0" w:after="0"/>
            </w:pPr>
            <w:r>
              <w:rPr>
                <w:b w:val="1"/>
                <w:bCs w:val="1"/>
              </w:rPr>
              <w:t xml:space="preserve">SENCILLA</w:t>
            </w:r>
          </w:p>
        </w:tc>
        <w:tc>
          <w:tcPr>
            <w:tcW w:w="7800" w:type="dxa"/>
            <w:noWrap/>
          </w:tcPr>
          <w:p>
            <w:pPr>
              <w:jc w:val="start"/>
              <w:spacing w:before="0" w:after="0"/>
            </w:pPr>
            <w:r>
              <w:rPr>
                <w:b w:val="1"/>
                <w:bCs w:val="1"/>
              </w:rPr>
              <w:t xml:space="preserve">DOBLE</w:t>
            </w:r>
          </w:p>
        </w:tc>
      </w:tr>
      <w:tr>
        <w:trPr/>
        <w:tc>
          <w:tcPr>
            <w:tcW w:w="7800" w:type="dxa"/>
            <w:noWrap/>
          </w:tcPr>
          <w:p>
            <w:pPr>
              <w:jc w:val="start"/>
              <w:spacing w:before="0" w:after="0"/>
            </w:pPr>
            <w:r>
              <w:rPr/>
              <w:t xml:space="preserve">4* - ESTÁNDAR</w:t>
            </w:r>
          </w:p>
        </w:tc>
        <w:tc>
          <w:tcPr>
            <w:tcW w:w="7800" w:type="dxa"/>
            <w:noWrap/>
          </w:tcPr>
          <w:p>
            <w:pPr>
              <w:jc w:val="start"/>
              <w:spacing w:before="0" w:after="0"/>
            </w:pPr>
            <w:r>
              <w:rPr/>
              <w:t xml:space="preserve">847</w:t>
            </w:r>
          </w:p>
        </w:tc>
        <w:tc>
          <w:tcPr>
            <w:tcW w:w="7800" w:type="dxa"/>
            <w:noWrap/>
          </w:tcPr>
          <w:p>
            <w:pPr>
              <w:jc w:val="start"/>
              <w:spacing w:before="0" w:after="0"/>
            </w:pPr>
            <w:r>
              <w:rPr/>
              <w:t xml:space="preserve">620</w:t>
            </w:r>
          </w:p>
        </w:tc>
      </w:tr>
      <w:tr>
        <w:trPr/>
        <w:tc>
          <w:tcPr>
            <w:tcW w:w="7800" w:type="dxa"/>
            <w:noWrap/>
          </w:tcPr>
          <w:p>
            <w:pPr>
              <w:jc w:val="start"/>
              <w:spacing w:before="0" w:after="0"/>
            </w:pPr>
            <w:r>
              <w:rPr/>
              <w:t xml:space="preserve">4* - PLUS</w:t>
            </w:r>
          </w:p>
        </w:tc>
        <w:tc>
          <w:tcPr>
            <w:tcW w:w="7800" w:type="dxa"/>
            <w:noWrap/>
          </w:tcPr>
          <w:p>
            <w:pPr>
              <w:jc w:val="start"/>
              <w:spacing w:before="0" w:after="0"/>
            </w:pPr>
            <w:r>
              <w:rPr/>
              <w:t xml:space="preserve">873</w:t>
            </w:r>
          </w:p>
        </w:tc>
        <w:tc>
          <w:tcPr>
            <w:tcW w:w="7800" w:type="dxa"/>
            <w:noWrap/>
          </w:tcPr>
          <w:p>
            <w:pPr>
              <w:jc w:val="start"/>
              <w:spacing w:before="0" w:after="0"/>
            </w:pPr>
            <w:r>
              <w:rPr/>
              <w:t xml:space="preserve">633</w:t>
            </w:r>
          </w:p>
        </w:tc>
      </w:tr>
      <w:tr>
        <w:trPr/>
        <w:tc>
          <w:tcPr>
            <w:tcW w:w="7800" w:type="dxa"/>
            <w:noWrap/>
          </w:tcPr>
          <w:p>
            <w:pPr>
              <w:jc w:val="start"/>
              <w:spacing w:before="0" w:after="0"/>
            </w:pPr>
            <w:r>
              <w:rPr/>
              <w:t xml:space="preserve">5* - ESTÁNDAR</w:t>
            </w:r>
          </w:p>
        </w:tc>
        <w:tc>
          <w:tcPr>
            <w:tcW w:w="7800" w:type="dxa"/>
            <w:noWrap/>
          </w:tcPr>
          <w:p>
            <w:pPr>
              <w:jc w:val="start"/>
              <w:spacing w:before="0" w:after="0"/>
            </w:pPr>
            <w:r>
              <w:rPr/>
              <w:t xml:space="preserve">993</w:t>
            </w:r>
          </w:p>
        </w:tc>
        <w:tc>
          <w:tcPr>
            <w:tcW w:w="7800" w:type="dxa"/>
            <w:noWrap/>
          </w:tcPr>
          <w:p>
            <w:pPr>
              <w:jc w:val="start"/>
              <w:spacing w:before="0" w:after="0"/>
            </w:pPr>
            <w:r>
              <w:rPr/>
              <w:t xml:space="preserve">693</w:t>
            </w:r>
          </w:p>
        </w:tc>
      </w:tr>
      <w:tr>
        <w:trPr/>
        <w:tc>
          <w:tcPr>
            <w:tcW w:w="7800" w:type="dxa"/>
            <w:noWrap/>
          </w:tcPr>
          <w:p>
            <w:pPr>
              <w:jc w:val="start"/>
              <w:spacing w:before="0" w:after="0"/>
            </w:pPr>
            <w:r>
              <w:rPr/>
              <w:t xml:space="preserve">5* - PLUS</w:t>
            </w:r>
          </w:p>
        </w:tc>
        <w:tc>
          <w:tcPr>
            <w:tcW w:w="7800" w:type="dxa"/>
            <w:noWrap/>
          </w:tcPr>
          <w:p>
            <w:pPr>
              <w:jc w:val="start"/>
              <w:spacing w:before="0" w:after="0"/>
            </w:pPr>
            <w:r>
              <w:rPr/>
              <w:t xml:space="preserve">1.100</w:t>
            </w:r>
          </w:p>
        </w:tc>
        <w:tc>
          <w:tcPr>
            <w:tcW w:w="7800" w:type="dxa"/>
            <w:noWrap/>
          </w:tcPr>
          <w:p>
            <w:pPr>
              <w:jc w:val="start"/>
              <w:spacing w:before="0" w:after="0"/>
            </w:pPr>
            <w:r>
              <w:rPr/>
              <w:t xml:space="preserve">747</w:t>
            </w:r>
          </w:p>
        </w:tc>
      </w:tr>
    </w:tbl>
    <w:p>
      <w:pPr>
        <w:spacing w:before="0" w:after="0"/>
      </w:pPr>
      <w:r>
        <w:rPr>
          <w:b w:val="1"/>
          <w:bCs w:val="1"/>
        </w:rPr>
        <w:t xml:space="preserve">NO INCLUYE: 2% de fee bancario </w:t>
      </w:r>
      <w:br/>
      <w:br/>
      <w:r>
        <w:rPr>
          <w:b w:val="1"/>
          <w:bCs w:val="1"/>
        </w:rPr>
        <w:t xml:space="preserve">PRECIOS REFERENCIALES POR PERSONA EN DÓLARES AMERICANOS</w:t>
      </w:r>
      <w:br/>
      <w:r>
        <w:rPr>
          <w:b w:val="1"/>
          <w:bCs w:val="1"/>
        </w:rPr>
        <w:t xml:space="preserve">Sujetos a cambios sin previo aviso y disponibilidad al momento de la reserva</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gridSpan w:val="3"/>
            <w:noWrap/>
          </w:tcPr>
          <w:p>
            <w:pPr>
              <w:jc w:val="start"/>
              <w:spacing w:before="0" w:after="0"/>
            </w:pPr>
            <w:r>
              <w:rPr/>
              <w:t xml:space="preserve">VIGENCIA DEL 01 OCTUBRE AL 30 DE ABRIL 2026</w:t>
            </w:r>
            <w:br/>
            <w:r>
              <w:rPr/>
              <w:t xml:space="preserve">Excepto temporada alta</w:t>
            </w:r>
          </w:p>
        </w:tc>
      </w:tr>
      <w:tr>
        <w:trPr/>
        <w:tc>
          <w:tcPr>
            <w:tcW w:w="7800" w:type="dxa"/>
            <w:noWrap/>
          </w:tcPr>
          <w:p>
            <w:pPr>
              <w:jc w:val="start"/>
              <w:spacing w:before="0" w:after="0"/>
            </w:pPr>
            <w:r>
              <w:rPr>
                <w:b w:val="1"/>
                <w:bCs w:val="1"/>
              </w:rPr>
              <w:t xml:space="preserve">CATEGORIA</w:t>
            </w:r>
          </w:p>
        </w:tc>
        <w:tc>
          <w:tcPr>
            <w:tcW w:w="7800" w:type="dxa"/>
            <w:noWrap/>
          </w:tcPr>
          <w:p>
            <w:pPr>
              <w:jc w:val="start"/>
              <w:spacing w:before="0" w:after="0"/>
            </w:pPr>
            <w:r>
              <w:rPr>
                <w:b w:val="1"/>
                <w:bCs w:val="1"/>
              </w:rPr>
              <w:t xml:space="preserve">SENCILLA</w:t>
            </w:r>
          </w:p>
        </w:tc>
        <w:tc>
          <w:tcPr>
            <w:tcW w:w="7800" w:type="dxa"/>
            <w:noWrap/>
          </w:tcPr>
          <w:p>
            <w:pPr>
              <w:jc w:val="start"/>
              <w:spacing w:before="0" w:after="0"/>
            </w:pPr>
            <w:r>
              <w:rPr>
                <w:b w:val="1"/>
                <w:bCs w:val="1"/>
              </w:rPr>
              <w:t xml:space="preserve">DOBLE</w:t>
            </w:r>
          </w:p>
        </w:tc>
      </w:tr>
      <w:tr>
        <w:trPr/>
        <w:tc>
          <w:tcPr>
            <w:tcW w:w="7800" w:type="dxa"/>
            <w:noWrap/>
          </w:tcPr>
          <w:p>
            <w:pPr>
              <w:jc w:val="start"/>
              <w:spacing w:before="0" w:after="0"/>
            </w:pPr>
            <w:r>
              <w:rPr/>
              <w:t xml:space="preserve">4* - ESTÁNDAR</w:t>
            </w:r>
          </w:p>
        </w:tc>
        <w:tc>
          <w:tcPr>
            <w:tcW w:w="7800" w:type="dxa"/>
            <w:noWrap/>
          </w:tcPr>
          <w:p>
            <w:pPr>
              <w:jc w:val="start"/>
              <w:spacing w:before="0" w:after="0"/>
            </w:pPr>
            <w:r>
              <w:rPr/>
              <w:t xml:space="preserve">1.133</w:t>
            </w:r>
          </w:p>
        </w:tc>
        <w:tc>
          <w:tcPr>
            <w:tcW w:w="7800" w:type="dxa"/>
            <w:noWrap/>
          </w:tcPr>
          <w:p>
            <w:pPr>
              <w:jc w:val="start"/>
              <w:spacing w:before="0" w:after="0"/>
            </w:pPr>
            <w:r>
              <w:rPr/>
              <w:t xml:space="preserve">760</w:t>
            </w:r>
          </w:p>
        </w:tc>
      </w:tr>
      <w:tr>
        <w:trPr/>
        <w:tc>
          <w:tcPr>
            <w:tcW w:w="7800" w:type="dxa"/>
            <w:noWrap/>
          </w:tcPr>
          <w:p>
            <w:pPr>
              <w:jc w:val="start"/>
              <w:spacing w:before="0" w:after="0"/>
            </w:pPr>
            <w:r>
              <w:rPr/>
              <w:t xml:space="preserve">4* - PLUS</w:t>
            </w:r>
          </w:p>
        </w:tc>
        <w:tc>
          <w:tcPr>
            <w:tcW w:w="7800" w:type="dxa"/>
            <w:noWrap/>
          </w:tcPr>
          <w:p>
            <w:pPr>
              <w:jc w:val="start"/>
              <w:spacing w:before="0" w:after="0"/>
            </w:pPr>
            <w:r>
              <w:rPr/>
              <w:t xml:space="preserve">1.187</w:t>
            </w:r>
          </w:p>
        </w:tc>
        <w:tc>
          <w:tcPr>
            <w:tcW w:w="7800" w:type="dxa"/>
            <w:noWrap/>
          </w:tcPr>
          <w:p>
            <w:pPr>
              <w:jc w:val="start"/>
              <w:spacing w:before="0" w:after="0"/>
            </w:pPr>
            <w:r>
              <w:rPr/>
              <w:t xml:space="preserve">787</w:t>
            </w:r>
          </w:p>
        </w:tc>
      </w:tr>
      <w:tr>
        <w:trPr/>
        <w:tc>
          <w:tcPr>
            <w:tcW w:w="7800" w:type="dxa"/>
            <w:noWrap/>
          </w:tcPr>
          <w:p>
            <w:pPr>
              <w:jc w:val="start"/>
              <w:spacing w:before="0" w:after="0"/>
            </w:pPr>
            <w:r>
              <w:rPr/>
              <w:t xml:space="preserve">5* - ESTÁNDAR</w:t>
            </w:r>
          </w:p>
        </w:tc>
        <w:tc>
          <w:tcPr>
            <w:tcW w:w="7800" w:type="dxa"/>
            <w:noWrap/>
          </w:tcPr>
          <w:p>
            <w:pPr>
              <w:jc w:val="start"/>
              <w:spacing w:before="0" w:after="0"/>
            </w:pPr>
            <w:r>
              <w:rPr/>
              <w:t xml:space="preserve">1.253</w:t>
            </w:r>
          </w:p>
        </w:tc>
        <w:tc>
          <w:tcPr>
            <w:tcW w:w="7800" w:type="dxa"/>
            <w:noWrap/>
          </w:tcPr>
          <w:p>
            <w:pPr>
              <w:jc w:val="start"/>
              <w:spacing w:before="0" w:after="0"/>
            </w:pPr>
            <w:r>
              <w:rPr/>
              <w:t xml:space="preserve">820</w:t>
            </w:r>
          </w:p>
        </w:tc>
      </w:tr>
    </w:tbl>
    <w:p>
      <w:pPr>
        <w:spacing w:before="0" w:after="0"/>
      </w:pPr>
      <w:r>
        <w:rPr>
          <w:b w:val="1"/>
          <w:bCs w:val="1"/>
        </w:rPr>
        <w:t xml:space="preserve">NO INCLUYE: 2% de fee bancario </w:t>
      </w:r>
      <w:br/>
      <w:r>
        <w:rPr>
          <w:b w:val="1"/>
          <w:bCs w:val="1"/>
        </w:rPr>
        <w:t xml:space="preserve">NOTA</w:t>
      </w:r>
      <w:r>
        <w:rPr/>
        <w:t xml:space="preserve">: Los precios publicados en dólares (USD) son referenciales y el pago deberá realizarse en pesos colombianos (COP) a la tasa de cambio interna que haya sido fijada por MEGA TRAVEL o a la tasa de cambio oficial TRM vigente al momento de la compra.</w:t>
      </w:r>
      <w:br/>
      <w:br/>
      <w:hyperlink r:id="rId9" w:history="1">
        <w:r>
          <w:rPr/>
          <w:t xml:space="preserve">SUPLEMENTO TEMPORDA ALTA</w:t>
        </w:r>
      </w:hyperlink>
    </w:p>
    <w:tbl>
      <w:tblGrid>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noWrap/>
          </w:tcPr>
          <w:p>
            <w:pPr>
              <w:jc w:val="start"/>
              <w:spacing w:before="0" w:after="0"/>
            </w:pPr>
            <w:r>
              <w:rPr>
                <w:b w:val="1"/>
                <w:bCs w:val="1"/>
              </w:rPr>
              <w:t xml:space="preserve">CATEGORIA</w:t>
            </w:r>
          </w:p>
        </w:tc>
        <w:tc>
          <w:tcPr>
            <w:tcW w:w="7800" w:type="dxa"/>
            <w:noWrap/>
          </w:tcPr>
          <w:p>
            <w:pPr>
              <w:jc w:val="start"/>
              <w:spacing w:before="0" w:after="0"/>
            </w:pPr>
            <w:r>
              <w:rPr>
                <w:b w:val="1"/>
                <w:bCs w:val="1"/>
              </w:rPr>
              <w:t xml:space="preserve">PRECIO NETO POR HABITACION POR NOCHE</w:t>
            </w:r>
          </w:p>
        </w:tc>
      </w:tr>
      <w:tr>
        <w:trPr/>
        <w:tc>
          <w:tcPr>
            <w:tcW w:w="7800" w:type="dxa"/>
            <w:noWrap/>
          </w:tcPr>
          <w:p>
            <w:pPr>
              <w:jc w:val="start"/>
              <w:spacing w:before="0" w:after="0"/>
            </w:pPr>
            <w:r>
              <w:rPr/>
              <w:t xml:space="preserve">3* - TURISTA</w:t>
            </w:r>
          </w:p>
        </w:tc>
        <w:tc>
          <w:tcPr>
            <w:tcW w:w="7800" w:type="dxa"/>
            <w:noWrap/>
          </w:tcPr>
          <w:p>
            <w:pPr>
              <w:jc w:val="start"/>
              <w:spacing w:before="0" w:after="0"/>
            </w:pPr>
            <w:r>
              <w:rPr/>
              <w:t xml:space="preserve">89</w:t>
            </w:r>
          </w:p>
        </w:tc>
      </w:tr>
      <w:tr>
        <w:trPr/>
        <w:tc>
          <w:tcPr>
            <w:tcW w:w="7800" w:type="dxa"/>
            <w:noWrap/>
          </w:tcPr>
          <w:p>
            <w:pPr>
              <w:jc w:val="start"/>
              <w:spacing w:before="0" w:after="0"/>
            </w:pPr>
            <w:r>
              <w:rPr/>
              <w:t xml:space="preserve">4* - ESTÁNDAR</w:t>
            </w:r>
          </w:p>
        </w:tc>
        <w:tc>
          <w:tcPr>
            <w:tcW w:w="7800" w:type="dxa"/>
            <w:noWrap/>
          </w:tcPr>
          <w:p>
            <w:pPr>
              <w:jc w:val="start"/>
              <w:spacing w:before="0" w:after="0"/>
            </w:pPr>
            <w:r>
              <w:rPr/>
              <w:t xml:space="preserve">89</w:t>
            </w:r>
          </w:p>
        </w:tc>
      </w:tr>
      <w:tr>
        <w:trPr/>
        <w:tc>
          <w:tcPr>
            <w:tcW w:w="7800" w:type="dxa"/>
            <w:noWrap/>
          </w:tcPr>
          <w:p>
            <w:pPr>
              <w:jc w:val="start"/>
              <w:spacing w:before="0" w:after="0"/>
            </w:pPr>
            <w:r>
              <w:rPr/>
              <w:t xml:space="preserve">4* - PLUS</w:t>
            </w:r>
          </w:p>
        </w:tc>
        <w:tc>
          <w:tcPr>
            <w:tcW w:w="7800" w:type="dxa"/>
            <w:noWrap/>
          </w:tcPr>
          <w:p>
            <w:pPr>
              <w:jc w:val="start"/>
              <w:spacing w:before="0" w:after="0"/>
            </w:pPr>
            <w:r>
              <w:rPr/>
              <w:t xml:space="preserve">94</w:t>
            </w:r>
          </w:p>
        </w:tc>
      </w:tr>
      <w:tr>
        <w:trPr/>
        <w:tc>
          <w:tcPr>
            <w:tcW w:w="7800" w:type="dxa"/>
            <w:noWrap/>
          </w:tcPr>
          <w:p>
            <w:pPr>
              <w:jc w:val="start"/>
              <w:spacing w:before="0" w:after="0"/>
            </w:pPr>
            <w:r>
              <w:rPr/>
              <w:t xml:space="preserve">5* - ESTÁNDAR</w:t>
            </w:r>
          </w:p>
        </w:tc>
        <w:tc>
          <w:tcPr>
            <w:tcW w:w="7800" w:type="dxa"/>
            <w:noWrap/>
          </w:tcPr>
          <w:p>
            <w:pPr>
              <w:jc w:val="start"/>
              <w:spacing w:before="0" w:after="0"/>
            </w:pPr>
            <w:r>
              <w:rPr/>
              <w:t xml:space="preserve">100</w:t>
            </w:r>
          </w:p>
        </w:tc>
      </w:tr>
      <w:tr>
        <w:trPr/>
        <w:tc>
          <w:tcPr>
            <w:tcW w:w="7800" w:type="dxa"/>
            <w:noWrap/>
          </w:tcPr>
          <w:p>
            <w:pPr>
              <w:jc w:val="start"/>
              <w:spacing w:before="0" w:after="0"/>
            </w:pPr>
            <w:r>
              <w:rPr/>
              <w:t xml:space="preserve">5* - PLUS</w:t>
            </w:r>
          </w:p>
        </w:tc>
        <w:tc>
          <w:tcPr>
            <w:tcW w:w="7800" w:type="dxa"/>
            <w:noWrap/>
          </w:tcPr>
          <w:p>
            <w:pPr>
              <w:jc w:val="start"/>
              <w:spacing w:before="0" w:after="0"/>
            </w:pPr>
            <w:r>
              <w:rPr/>
              <w:t xml:space="preserve">106</w:t>
            </w:r>
          </w:p>
        </w:tc>
      </w:tr>
    </w:tbl>
    <w:p>
      <w:pPr>
        <w:spacing w:before="0" w:after="0"/>
      </w:pPr>
      <w:hyperlink r:id="rId9" w:history="1">
        <w:r>
          <w:rPr/>
          <w:t xml:space="preserve">FECHAS DE TEMPORADA ALTA EN DUBAI</w:t>
        </w:r>
      </w:hyperlink>
    </w:p>
    <w:tbl>
      <w:tblGrid>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noWrap/>
          </w:tcPr>
          <w:p>
            <w:pPr>
              <w:jc w:val="start"/>
              <w:spacing w:before="0" w:after="0"/>
            </w:pPr>
            <w:r>
              <w:rPr>
                <w:b w:val="1"/>
                <w:bCs w:val="1"/>
              </w:rPr>
              <w:t xml:space="preserve">GITEX</w:t>
            </w:r>
          </w:p>
        </w:tc>
        <w:tc>
          <w:tcPr>
            <w:tcW w:w="7800" w:type="dxa"/>
            <w:noWrap/>
          </w:tcPr>
          <w:p>
            <w:pPr>
              <w:jc w:val="start"/>
              <w:spacing w:before="0" w:after="0"/>
            </w:pPr>
            <w:r>
              <w:rPr/>
              <w:t xml:space="preserve">13 al 17 octubre - 2025</w:t>
            </w:r>
          </w:p>
        </w:tc>
      </w:tr>
      <w:tr>
        <w:trPr/>
        <w:tc>
          <w:tcPr>
            <w:tcW w:w="7800" w:type="dxa"/>
            <w:noWrap/>
          </w:tcPr>
          <w:p>
            <w:pPr>
              <w:jc w:val="start"/>
              <w:spacing w:before="0" w:after="0"/>
            </w:pPr>
            <w:r>
              <w:rPr>
                <w:b w:val="1"/>
                <w:bCs w:val="1"/>
              </w:rPr>
              <w:t xml:space="preserve">BIG5</w:t>
            </w:r>
          </w:p>
        </w:tc>
        <w:tc>
          <w:tcPr>
            <w:tcW w:w="7800" w:type="dxa"/>
            <w:noWrap/>
          </w:tcPr>
          <w:p>
            <w:pPr>
              <w:jc w:val="start"/>
              <w:spacing w:before="0" w:after="0"/>
            </w:pPr>
            <w:r>
              <w:rPr/>
              <w:t xml:space="preserve">24 al 28 noviembre - 2025</w:t>
            </w:r>
          </w:p>
        </w:tc>
      </w:tr>
      <w:tr>
        <w:trPr/>
        <w:tc>
          <w:tcPr>
            <w:tcW w:w="7800" w:type="dxa"/>
            <w:noWrap/>
          </w:tcPr>
          <w:p>
            <w:pPr>
              <w:jc w:val="start"/>
              <w:spacing w:before="0" w:after="0"/>
            </w:pPr>
            <w:r>
              <w:rPr>
                <w:b w:val="1"/>
                <w:bCs w:val="1"/>
              </w:rPr>
              <w:t xml:space="preserve">FIN DE AÑO</w:t>
            </w:r>
          </w:p>
        </w:tc>
        <w:tc>
          <w:tcPr>
            <w:tcW w:w="7800" w:type="dxa"/>
            <w:noWrap/>
          </w:tcPr>
          <w:p>
            <w:pPr>
              <w:jc w:val="start"/>
              <w:spacing w:before="0" w:after="0"/>
            </w:pPr>
            <w:r>
              <w:rPr/>
              <w:t xml:space="preserve">26 diciembre 2025 hasta 05 enero2026</w:t>
            </w:r>
          </w:p>
        </w:tc>
      </w:tr>
      <w:tr>
        <w:trPr/>
        <w:tc>
          <w:tcPr>
            <w:tcW w:w="7800" w:type="dxa"/>
            <w:noWrap/>
          </w:tcPr>
          <w:p>
            <w:pPr>
              <w:jc w:val="start"/>
              <w:spacing w:before="0" w:after="0"/>
            </w:pPr>
            <w:r>
              <w:rPr>
                <w:b w:val="1"/>
                <w:bCs w:val="1"/>
              </w:rPr>
              <w:t xml:space="preserve">GULF FOOD</w:t>
            </w:r>
          </w:p>
        </w:tc>
        <w:tc>
          <w:tcPr>
            <w:tcW w:w="7800" w:type="dxa"/>
            <w:noWrap/>
          </w:tcPr>
          <w:p>
            <w:pPr>
              <w:jc w:val="start"/>
              <w:spacing w:before="0" w:after="0"/>
            </w:pPr>
            <w:r>
              <w:rPr/>
              <w:t xml:space="preserve">25 al 31 enero 2026</w:t>
            </w:r>
          </w:p>
        </w:tc>
      </w:tr>
      <w:tr>
        <w:trPr/>
        <w:tc>
          <w:tcPr>
            <w:tcW w:w="7800" w:type="dxa"/>
            <w:noWrap/>
          </w:tcPr>
          <w:p>
            <w:pPr>
              <w:jc w:val="start"/>
              <w:spacing w:before="0" w:after="0"/>
            </w:pPr>
            <w:r>
              <w:rPr>
                <w:b w:val="1"/>
                <w:bCs w:val="1"/>
              </w:rPr>
              <w:t xml:space="preserve">ARAB HEALTH  </w:t>
            </w:r>
          </w:p>
        </w:tc>
        <w:tc>
          <w:tcPr>
            <w:tcW w:w="7800" w:type="dxa"/>
            <w:noWrap/>
          </w:tcPr>
          <w:p>
            <w:pPr>
              <w:jc w:val="start"/>
              <w:spacing w:before="0" w:after="0"/>
            </w:pPr>
            <w:r>
              <w:rPr/>
              <w:t xml:space="preserve">08 al 13 febrero 2026</w:t>
            </w:r>
          </w:p>
        </w:tc>
      </w:tr>
    </w:tbl>
    <w:p>
      <w:pPr>
        <w:spacing w:before="0" w:after="0"/>
      </w:pPr>
      <w:r>
        <w:rPr>
          <w:b w:val="1"/>
          <w:bCs w:val="1"/>
        </w:rPr>
        <w:t xml:space="preserve">FECHAS DE TEMPORADA ALTA EN ABU DHABI</w:t>
      </w:r>
    </w:p>
    <w:tbl>
      <w:tblGrid>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noWrap/>
          </w:tcPr>
          <w:p>
            <w:pPr>
              <w:jc w:val="start"/>
              <w:spacing w:before="0" w:after="0"/>
            </w:pPr>
            <w:r>
              <w:rPr>
                <w:b w:val="1"/>
                <w:bCs w:val="1"/>
              </w:rPr>
              <w:t xml:space="preserve">ADIPEC</w:t>
            </w:r>
          </w:p>
        </w:tc>
        <w:tc>
          <w:tcPr>
            <w:tcW w:w="7800" w:type="dxa"/>
            <w:noWrap/>
          </w:tcPr>
          <w:p>
            <w:pPr>
              <w:jc w:val="start"/>
              <w:spacing w:before="0" w:after="0"/>
            </w:pPr>
            <w:r>
              <w:rPr/>
              <w:t xml:space="preserve">02 al 07 noviembre 2025</w:t>
            </w:r>
          </w:p>
        </w:tc>
      </w:tr>
      <w:tr>
        <w:trPr/>
        <w:tc>
          <w:tcPr>
            <w:tcW w:w="7800" w:type="dxa"/>
            <w:noWrap/>
          </w:tcPr>
          <w:p>
            <w:pPr>
              <w:jc w:val="start"/>
              <w:spacing w:before="0" w:after="0"/>
            </w:pPr>
            <w:r>
              <w:rPr>
                <w:b w:val="1"/>
                <w:bCs w:val="1"/>
              </w:rPr>
              <w:t xml:space="preserve">FORMULA 1</w:t>
            </w:r>
          </w:p>
        </w:tc>
        <w:tc>
          <w:tcPr>
            <w:tcW w:w="7800" w:type="dxa"/>
            <w:noWrap/>
          </w:tcPr>
          <w:p>
            <w:pPr>
              <w:jc w:val="start"/>
              <w:spacing w:before="0" w:after="0"/>
            </w:pPr>
            <w:r>
              <w:rPr/>
              <w:t xml:space="preserve">05 al 08 diciembre 2025</w:t>
            </w:r>
          </w:p>
        </w:tc>
      </w:tr>
      <w:tr>
        <w:trPr/>
        <w:tc>
          <w:tcPr>
            <w:tcW w:w="7800" w:type="dxa"/>
            <w:noWrap/>
          </w:tcPr>
          <w:p>
            <w:pPr>
              <w:jc w:val="start"/>
              <w:spacing w:before="0" w:after="0"/>
            </w:pPr>
            <w:r>
              <w:rPr>
                <w:b w:val="1"/>
                <w:bCs w:val="1"/>
              </w:rPr>
              <w:t xml:space="preserve">FIN DE AÑO</w:t>
            </w:r>
          </w:p>
        </w:tc>
        <w:tc>
          <w:tcPr>
            <w:tcW w:w="7800" w:type="dxa"/>
            <w:noWrap/>
          </w:tcPr>
          <w:p>
            <w:pPr>
              <w:jc w:val="start"/>
              <w:spacing w:before="0" w:after="0"/>
            </w:pPr>
            <w:r>
              <w:rPr/>
              <w:t xml:space="preserve">26 diciembre 2025 hasta 05 enero 2026</w:t>
            </w:r>
          </w:p>
        </w:tc>
      </w:tr>
    </w:tbl>
    <w:p>
      <w:pPr>
        <w:spacing w:before="0" w:after="0"/>
      </w:pPr>
      <w:r>
        <w:rPr>
          <w:b w:val="1"/>
          <w:bCs w:val="1"/>
        </w:rPr>
        <w:t xml:space="preserve">TARIFA DE NIÑOS:</w:t>
      </w:r>
      <w:br/>
      <w:r>
        <w:rPr/>
        <w:t xml:space="preserve">Niños compartiendo en la misma habitación con sus padres sin cama adicional (máximo 2 adultos + 1 niño)</w:t>
      </w:r>
      <w:br/>
      <w:r>
        <w:rPr/>
        <w:t xml:space="preserve">• 0 – 2 años gratis. (Paga suplemento para la excursión en safari 4x4 USD 35 netos).</w:t>
      </w:r>
      <w:br/>
      <w:r>
        <w:rPr/>
        <w:t xml:space="preserve">• 3 – 5 años descuento 75% sobre la tarifa del adulto en Doble.</w:t>
      </w:r>
      <w:br/>
      <w:r>
        <w:rPr/>
        <w:t xml:space="preserve">• 6 – 11 años descuento 50% sobre la tarifa del adulto en Doble.</w:t>
      </w:r>
    </w:p>
    <w:p>
      <w:pPr>
        <w:spacing w:before="0" w:after="0"/>
      </w:pPr>
      <w:r>
        <w:rPr>
          <w:b w:val="1"/>
          <w:bCs w:val="1"/>
        </w:rPr>
        <w:t xml:space="preserve">VISITAS Y EXCURSIONES </w:t>
      </w:r>
      <w:b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1"/>
                <w:bCs w:val="1"/>
                <w:shd w:val="clear" w:fill="152441"/>
              </w:rPr>
              <w:t xml:space="preserve">CATEGORIA</w:t>
            </w:r>
          </w:p>
        </w:tc>
        <w:tc>
          <w:tcPr>
            <w:tcW w:w="7800" w:type="dxa"/>
            <w:shd w:val="clear" w:fill="152441"/>
            <w:noWrap/>
          </w:tcPr>
          <w:p>
            <w:pPr>
              <w:jc w:val="start"/>
              <w:spacing w:before="0" w:after="0"/>
            </w:pPr>
            <w:r>
              <w:rPr>
                <w:color w:val="ffffff"/>
                <w:sz w:val="21"/>
                <w:szCs w:val="21"/>
                <w:b w:val="1"/>
                <w:bCs w:val="1"/>
                <w:shd w:val="clear" w:fill="152441"/>
              </w:rPr>
              <w:t xml:space="preserve">CIUDAD</w:t>
            </w:r>
          </w:p>
        </w:tc>
        <w:tc>
          <w:tcPr>
            <w:tcW w:w="7800" w:type="dxa"/>
            <w:shd w:val="clear" w:fill="152441"/>
            <w:noWrap/>
          </w:tcPr>
          <w:p>
            <w:pPr>
              <w:jc w:val="start"/>
              <w:spacing w:before="0" w:after="0"/>
            </w:pPr>
            <w:r>
              <w:rPr>
                <w:color w:val="ffffff"/>
                <w:sz w:val="21"/>
                <w:szCs w:val="21"/>
                <w:b w:val="1"/>
                <w:bCs w:val="1"/>
                <w:shd w:val="clear" w:fill="152441"/>
              </w:rPr>
              <w:t xml:space="preserve">HOTEL</w:t>
            </w:r>
          </w:p>
        </w:tc>
      </w:tr>
      <w:tr>
        <w:trPr/>
        <w:tc>
          <w:tcPr>
            <w:tcW w:w="7800" w:type="dxa"/>
            <w:noWrap/>
          </w:tcPr>
          <w:p>
            <w:pPr>
              <w:jc w:val="start"/>
              <w:spacing w:before="0" w:after="0"/>
            </w:pPr>
            <w:r>
              <w:rPr/>
              <w:t xml:space="preserve">4* ESTÁNDAR</w:t>
            </w:r>
          </w:p>
        </w:tc>
        <w:tc>
          <w:tcPr>
            <w:tcW w:w="7800" w:type="dxa"/>
            <w:noWrap/>
          </w:tcPr>
          <w:p>
            <w:pPr>
              <w:jc w:val="start"/>
              <w:spacing w:before="0" w:after="0"/>
            </w:pPr>
            <w:r>
              <w:rPr/>
              <w:t xml:space="preserve">DUBÁI</w:t>
            </w:r>
          </w:p>
          <w:p>
            <w:pPr>
              <w:jc w:val="start"/>
              <w:spacing w:before="0" w:after="0"/>
            </w:pPr>
            <w:r>
              <w:rPr/>
              <w:t xml:space="preserve">ABU DHABI.</w:t>
            </w:r>
          </w:p>
        </w:tc>
        <w:tc>
          <w:tcPr>
            <w:tcW w:w="7800" w:type="dxa"/>
            <w:noWrap/>
          </w:tcPr>
          <w:p>
            <w:pPr>
              <w:jc w:val="start"/>
              <w:spacing w:before="0" w:after="0"/>
            </w:pPr>
            <w:r>
              <w:rPr/>
              <w:t xml:space="preserve">Signature 1 - Donatello Al Barsha o similar.</w:t>
            </w:r>
          </w:p>
          <w:p>
            <w:pPr>
              <w:jc w:val="start"/>
              <w:spacing w:before="0" w:after="0"/>
            </w:pPr>
            <w:r>
              <w:rPr/>
              <w:t xml:space="preserve">Pearl Rotana Capital Centre o similar.</w:t>
            </w:r>
          </w:p>
        </w:tc>
      </w:tr>
      <w:tr>
        <w:trPr/>
        <w:tc>
          <w:tcPr>
            <w:tcW w:w="7800" w:type="dxa"/>
            <w:noWrap/>
          </w:tcPr>
          <w:p>
            <w:pPr>
              <w:jc w:val="start"/>
              <w:spacing w:before="0" w:after="0"/>
            </w:pPr>
            <w:r>
              <w:rPr/>
              <w:t xml:space="preserve">4* SUPERIOR</w:t>
            </w:r>
          </w:p>
          <w:p>
            <w:pPr>
              <w:jc w:val="start"/>
              <w:spacing w:before="0" w:after="0"/>
            </w:pPr>
            <w:r>
              <w:rPr/>
              <w:t xml:space="preserve">4* PLUS</w:t>
            </w:r>
          </w:p>
        </w:tc>
        <w:tc>
          <w:tcPr>
            <w:tcW w:w="7800" w:type="dxa"/>
            <w:noWrap/>
          </w:tcPr>
          <w:p>
            <w:pPr>
              <w:jc w:val="start"/>
              <w:spacing w:before="0" w:after="0"/>
            </w:pPr>
            <w:r>
              <w:rPr/>
              <w:t xml:space="preserve">DUBÁI.</w:t>
            </w:r>
          </w:p>
          <w:p>
            <w:pPr>
              <w:jc w:val="start"/>
              <w:spacing w:before="0" w:after="0"/>
            </w:pPr>
            <w:r>
              <w:rPr/>
              <w:t xml:space="preserve">ABU DHABI.</w:t>
            </w:r>
          </w:p>
        </w:tc>
        <w:tc>
          <w:tcPr>
            <w:tcW w:w="7800" w:type="dxa"/>
            <w:noWrap/>
          </w:tcPr>
          <w:p>
            <w:pPr>
              <w:jc w:val="start"/>
              <w:spacing w:before="0" w:after="0"/>
            </w:pPr>
            <w:r>
              <w:rPr/>
              <w:t xml:space="preserve">Alkhoory Sky Garden o similar.</w:t>
            </w:r>
          </w:p>
          <w:p>
            <w:pPr>
              <w:jc w:val="start"/>
              <w:spacing w:before="0" w:after="0"/>
            </w:pPr>
            <w:r>
              <w:rPr/>
              <w:t xml:space="preserve">Novotel Al Bustan.</w:t>
            </w:r>
          </w:p>
        </w:tc>
      </w:tr>
      <w:tr>
        <w:trPr/>
        <w:tc>
          <w:tcPr>
            <w:tcW w:w="7800" w:type="dxa"/>
            <w:noWrap/>
          </w:tcPr>
          <w:p>
            <w:pPr>
              <w:jc w:val="start"/>
              <w:spacing w:before="0" w:after="0"/>
            </w:pPr>
            <w:r>
              <w:rPr/>
              <w:t xml:space="preserve">5* PRIMERA</w:t>
            </w:r>
          </w:p>
          <w:p>
            <w:pPr>
              <w:jc w:val="start"/>
              <w:spacing w:before="0" w:after="0"/>
            </w:pPr>
            <w:r>
              <w:rPr/>
              <w:t xml:space="preserve">5* ESTÁNDAR</w:t>
            </w:r>
          </w:p>
        </w:tc>
        <w:tc>
          <w:tcPr>
            <w:tcW w:w="7800" w:type="dxa"/>
            <w:noWrap/>
          </w:tcPr>
          <w:p>
            <w:pPr>
              <w:jc w:val="start"/>
              <w:spacing w:before="0" w:after="0"/>
            </w:pPr>
            <w:r>
              <w:rPr/>
              <w:t xml:space="preserve">DUBÁI.</w:t>
            </w:r>
          </w:p>
          <w:p>
            <w:pPr>
              <w:jc w:val="start"/>
              <w:spacing w:before="0" w:after="0"/>
            </w:pPr>
            <w:r>
              <w:rPr/>
              <w:t xml:space="preserve">ABU DHABI.</w:t>
            </w:r>
          </w:p>
        </w:tc>
        <w:tc>
          <w:tcPr>
            <w:tcW w:w="7800" w:type="dxa"/>
            <w:noWrap/>
          </w:tcPr>
          <w:p>
            <w:pPr>
              <w:jc w:val="start"/>
              <w:spacing w:before="0" w:after="0"/>
            </w:pPr>
            <w:r>
              <w:rPr/>
              <w:t xml:space="preserve">Asiana o similar.</w:t>
            </w:r>
          </w:p>
          <w:p>
            <w:pPr>
              <w:jc w:val="start"/>
              <w:spacing w:before="0" w:after="0"/>
            </w:pPr>
            <w:r>
              <w:rPr/>
              <w:t xml:space="preserve">Corniche Hotel o similar.</w:t>
            </w:r>
          </w:p>
        </w:tc>
      </w:tr>
      <w:tr>
        <w:trPr/>
        <w:tc>
          <w:tcPr>
            <w:tcW w:w="7800" w:type="dxa"/>
            <w:noWrap/>
          </w:tcPr>
          <w:p>
            <w:pPr>
              <w:jc w:val="start"/>
              <w:spacing w:before="0" w:after="0"/>
            </w:pPr>
            <w:r>
              <w:rPr/>
              <w:t xml:space="preserve">5* PLUS</w:t>
            </w:r>
          </w:p>
        </w:tc>
        <w:tc>
          <w:tcPr>
            <w:tcW w:w="7800" w:type="dxa"/>
            <w:noWrap/>
          </w:tcPr>
          <w:p>
            <w:pPr>
              <w:jc w:val="start"/>
              <w:spacing w:before="0" w:after="0"/>
            </w:pPr>
            <w:r>
              <w:rPr/>
              <w:t xml:space="preserve">DUBÁI.</w:t>
            </w:r>
          </w:p>
          <w:p>
            <w:pPr>
              <w:jc w:val="start"/>
              <w:spacing w:before="0" w:after="0"/>
            </w:pPr>
            <w:r>
              <w:rPr/>
              <w:t xml:space="preserve">ABU DHABI.</w:t>
            </w:r>
          </w:p>
        </w:tc>
        <w:tc>
          <w:tcPr>
            <w:tcW w:w="7800" w:type="dxa"/>
            <w:noWrap/>
          </w:tcPr>
          <w:p>
            <w:pPr>
              <w:jc w:val="start"/>
              <w:spacing w:before="0" w:after="0"/>
            </w:pPr>
            <w:r>
              <w:rPr/>
              <w:t xml:space="preserve">Media Rotana o similar.</w:t>
            </w:r>
          </w:p>
          <w:p>
            <w:pPr>
              <w:jc w:val="start"/>
              <w:spacing w:before="0" w:after="0"/>
            </w:pPr>
            <w:r>
              <w:rPr/>
              <w:t xml:space="preserve">Royal M Abu Dhabi By Gewan o similar.</w:t>
            </w:r>
          </w:p>
        </w:tc>
      </w:tr>
    </w:tbl>
    <w:p>
      <w:pPr>
        <w:spacing w:before="0" w:after="0"/>
      </w:pPr>
      <w:r>
        <w:rPr/>
        <w:t xml:space="preserve">Ésta es la relación de los hoteles utilizados más frecuentemente en este circuito. Reflejada tan sólo a efectos indicativos, pudiendo ser el pasajero alojado en establecimientos similares o alternativos en la misma categoría.</w:t>
      </w:r>
    </w:p>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03 noches de alojamiento en Dubái</w:t>
      </w:r>
    </w:p>
    <w:p>
      <w:pPr>
        <w:numPr>
          <w:ilvl w:val="1"/>
          <w:numId w:val="1"/>
        </w:numPr>
      </w:pPr>
      <w:r>
        <w:rPr/>
        <w:t xml:space="preserve">02 noches de alojamiento en Abu Dhabi </w:t>
      </w:r>
    </w:p>
    <w:p>
      <w:pPr>
        <w:numPr>
          <w:ilvl w:val="1"/>
          <w:numId w:val="1"/>
        </w:numPr>
      </w:pPr>
      <w:r>
        <w:rPr/>
        <w:t xml:space="preserve">Desayuno buffet diario.</w:t>
      </w:r>
    </w:p>
    <w:p>
      <w:pPr>
        <w:numPr>
          <w:ilvl w:val="1"/>
          <w:numId w:val="1"/>
        </w:numPr>
      </w:pPr>
      <w:r>
        <w:rPr/>
        <w:t xml:space="preserve">Medio día de visita Dubái en servicio compartido con Guía de habla hispana (Cada lunes y miércoles).</w:t>
      </w:r>
    </w:p>
    <w:p>
      <w:pPr>
        <w:numPr>
          <w:ilvl w:val="1"/>
          <w:numId w:val="1"/>
        </w:numPr>
      </w:pPr>
      <w:r>
        <w:rPr/>
        <w:t xml:space="preserve">Día Completo de visita Abu Dhabi en servicio compartido con Guía de habla hispana (Cada sábado y martes).</w:t>
      </w:r>
    </w:p>
    <w:p>
      <w:pPr>
        <w:numPr>
          <w:ilvl w:val="1"/>
          <w:numId w:val="1"/>
        </w:numPr>
      </w:pPr>
      <w:r>
        <w:rPr/>
        <w:t xml:space="preserve">Safari en 4x4 con Cena BBQ con conductor de habla inglés.</w:t>
      </w:r>
    </w:p>
    <w:p>
      <w:pPr>
        <w:numPr>
          <w:ilvl w:val="1"/>
          <w:numId w:val="1"/>
        </w:numPr>
      </w:pPr>
      <w:r>
        <w:rPr/>
        <w:t xml:space="preserve">Traslado terrestre Dubái/Abu Dhabi/ Dubái en auto con aire acondicionado.</w:t>
      </w:r>
    </w:p>
    <w:p>
      <w:pPr>
        <w:numPr>
          <w:ilvl w:val="1"/>
          <w:numId w:val="1"/>
        </w:numPr>
      </w:pPr>
      <w:r>
        <w:rPr/>
        <w:t xml:space="preserve">Traslados aeropuerto – hotel - aeropuerto en auto con aire acondicionado en servicio compartido</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 aéreo internacional o doméstico, equipaje, impuestos, tasas y otros cargos.</w:t>
      </w:r>
    </w:p>
    <w:p>
      <w:pPr>
        <w:numPr>
          <w:ilvl w:val="1"/>
          <w:numId w:val="1"/>
        </w:numPr>
      </w:pPr>
      <w:r>
        <w:rPr/>
        <w:t xml:space="preserve">Dubái Toursim Fee (A pagar directamente por el cliente al Hotel)</w:t>
      </w:r>
    </w:p>
    <w:p>
      <w:pPr>
        <w:numPr>
          <w:ilvl w:val="1"/>
          <w:numId w:val="1"/>
        </w:numPr>
      </w:pPr>
      <w:r>
        <w:rPr/>
        <w:t xml:space="preserve">Propinas para guías, conductores, maleteros meseros entre otros.</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Bebidas en las comidas incluidas.</w:t>
      </w:r>
    </w:p>
    <w:p>
      <w:pPr>
        <w:numPr>
          <w:ilvl w:val="1"/>
          <w:numId w:val="1"/>
        </w:numPr>
      </w:pPr>
      <w:r>
        <w:rPr/>
        <w:t xml:space="preserve">Excursiones opcionales.</w:t>
      </w:r>
    </w:p>
    <w:p>
      <w:pPr>
        <w:numPr>
          <w:ilvl w:val="1"/>
          <w:numId w:val="1"/>
        </w:numPr>
      </w:pPr>
      <w:r>
        <w:rPr/>
        <w:t xml:space="preserve">Gastos personales y servicios no especificados</w:t>
      </w:r>
    </w:p>
    <w:p>
      <w:pPr>
        <w:numPr>
          <w:ilvl w:val="1"/>
          <w:numId w:val="1"/>
        </w:numPr>
      </w:pPr>
      <w:r>
        <w:rPr/>
        <w:t xml:space="preserve">Tarjeta de asistencia.</w:t>
      </w:r>
    </w:p>
    <w:p>
      <w:pPr>
        <w:numPr>
          <w:ilvl w:val="1"/>
          <w:numId w:val="1"/>
        </w:numPr>
      </w:pPr>
      <w:r>
        <w:rPr/>
        <w:t xml:space="preserve">2% de Fee bancario, sobre el valor total de la porción terrestre.</w:t>
      </w:r>
    </w:p>
    <w:p>
      <w:pPr>
        <w:numPr>
          <w:ilvl w:val="1"/>
          <w:numId w:val="1"/>
        </w:numPr>
      </w:pPr>
      <w:r>
        <w:rPr/>
        <w:t xml:space="preserve">Suplemento pago con tarjeta crédito VISA y MÁSTER CARD del 3.3% de gestión bancaria</w:t>
      </w:r>
    </w:p>
    <w:sectPr>
      <w:headerReference w:type="default" r:id="rId10"/>
      <w:footerReference w:type="default" r:id="rId11"/>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AE4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2025-12-19T10:09:47+00:00</dcterms:created>
  <dcterms:modified xsi:type="dcterms:W3CDTF">2025-12-19T10:09:47+00:00</dcterms:modified>
</cp:coreProperties>
</file>

<file path=docProps/custom.xml><?xml version="1.0" encoding="utf-8"?>
<Properties xmlns="http://schemas.openxmlformats.org/officeDocument/2006/custom-properties" xmlns:vt="http://schemas.openxmlformats.org/officeDocument/2006/docPropsVTypes"/>
</file>