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INGLATERRA Y ESCOCIA                    </w:t>
      </w:r>
    </w:p>
    <w:p>
      <w:pPr/>
      <w:r>
        <w:rPr>
          <w:rFonts w:ascii="Arial" w:hAnsi="Arial" w:eastAsia="Arial" w:cs="Arial"/>
          <w:color w:val="light"/>
          <w:sz w:val="22"/>
          <w:szCs w:val="22"/>
          <w:b w:val="0"/>
          <w:bCs w:val="0"/>
        </w:rPr>
        <w:t xml:space="preserve">MTC - 18290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$1635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Inglaterra, </w:t>
      </w:r>
      <w:r>
        <w:rPr/>
        <w:t xml:space="preserve">Escocia,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Londres, </w:t>
      </w:r>
      <w:r>
        <w:rPr/>
        <w:t xml:space="preserve">Liverpool, </w:t>
      </w:r>
      <w:r>
        <w:rPr/>
        <w:t xml:space="preserve">Glasgow, </w:t>
      </w:r>
      <w:r>
        <w:rPr/>
        <w:t xml:space="preserve">Highlands, </w:t>
      </w:r>
      <w:r>
        <w:rPr/>
        <w:t xml:space="preserve">Edimburgo, </w:t>
      </w:r>
      <w:r>
        <w:rPr/>
        <w:t xml:space="preserve">Harrogate, </w:t>
      </w:r>
      <w:r>
        <w:rPr/>
        <w:t xml:space="preserve">Londres,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OXFORD – STRATFORD – CHESTER – LIVERPOOL.</w:t>
      </w:r>
      <w:br/>
      <w:r>
        <w:rPr/>
        <w:t xml:space="preserve">Saldremos de Londres hacia el noroeste hasta llegar a la ciudad universitaria de Oxford, donde realizaremos un breve recorrido a pie para admirar sus magníficos colegios universitarios. La universidad de Oxford es además de muy prestigiosa, la más antigua del mundo angloparlante. Desde Oxford nos dirigiremos hacia Stratford-Upon-Avon, una ciudad encantadora a los márgenes del río Avon y lugar de nacimiento del dramaturgo William Shakespeare. En esta bella localidad realizaremos una visita panorámica parando para almorzar. Después proseguimos al norte hasta llegar a la ciudad amurallada de Chester para efectuar un recorrido a pie. Saldremos para realizar una visita panorámica en Liverpool, cuna de la más famosa banda de rock: Los Beatles y Capital Europea de la Cultura en 2008. En Liverpool encontramos uno de los puertos más grandes de Inglaterra, con la conocida zona de “Albert Dock”.</w:t>
      </w:r>
    </w:p>
    <w:p>
      <w:pPr/>
      <w:r>
        <w:rPr/>
        <w:t xml:space="preserve">Cena, alojamiento y desayuno en el Hotel Delta by Marriott Liverpool City Centre, Mercure Liverpool Atlantic Tower o similar.</w:t>
      </w:r>
    </w:p>
    <w:p>
      <w:pPr/>
      <w:r>
        <w:rPr>
          <w:b w:val="1"/>
          <w:bCs w:val="1"/>
        </w:rPr>
        <w:t xml:space="preserve">DÍA 02 LIVERPOOL – DISTRITO DE LOS LAGOS – GRETNA GREEN – GLASGOW.</w:t>
      </w:r>
      <w:br/>
      <w:r>
        <w:rPr/>
        <w:t xml:space="preserve">Nuestro recorrido nos llevará hacia el noroeste de Inglaterra por el Distrito de los Lagos, en el pasado lugar de inspiración de poetas y escritores ingleses y en el presente un paraíso para los amantes de la naturaleza por su gran variedad de flora y fauna. A lo largo del Lago Grasmere atravesaremos la frontera con Escocia por Gretna Green (famosa por su historia de bodas fugitivas), donde tendremos tiempo libre para el almuerzo. Continuaremos en dirección norte y realizaremos una breve visita de la tercera ciudad más grande del Reino Unido: Glasgow. Te cautivará su arquitectura Victoriana y su encanto único. Apodada cariñosamente "Glasvegas", esta ciudad te ofrece una mezcla perfecta de cultura, compras, gastronomía y vida nocturna.</w:t>
      </w:r>
    </w:p>
    <w:p>
      <w:pPr/>
      <w:r>
        <w:rPr/>
        <w:t xml:space="preserve">Alojamiento y desayuno en el Sandman Signature Glasgow Hotel, hotel Maldron Glasgow, o similar.</w:t>
      </w:r>
    </w:p>
    <w:p>
      <w:pPr/>
      <w:r>
        <w:rPr>
          <w:b w:val="1"/>
          <w:bCs w:val="1"/>
        </w:rPr>
        <w:t xml:space="preserve">DÍA 03 GLASGOW – LOCH LOMOND – FORT WILLIAM – LAGO NESS – INVERNESS – HIGHLANDS.</w:t>
      </w:r>
      <w:br/>
      <w:r>
        <w:rPr/>
        <w:t xml:space="preserve">Abandonaremos Glasgow bordeando los bellos márgenes del Loch Lomond, el lago más grande de Gran Bretaña por superficie. Seguidamente, nos adentraremos en las Tierras Altas de Escocia, lugar de famosos clanes familiares. Pasaremos por Crianlarich y llegaremos a Fort William, una pintoresca ciudad situada al pie del Ben Nevis, donde tendremos tiempo libre para almorzar. Por la tarde, llegaremos al famoso Lago Ness en busca de su ancestral huésped “Nessie”. Podrán hacer un paseo en barco por el Lago Ness (opcional) y después visitaremos las Ruinas Castillo de Urquhart. Partiremos recorriendo las orillas del lago en dirección a Inverness, la capital de las tierras donde al llegar realizaremos un tour panorámico, para conocer los principales lugares de interés de la ciudad, como el Castillo de Inverness y su Catedral.</w:t>
      </w:r>
    </w:p>
    <w:p>
      <w:pPr/>
      <w:r>
        <w:rPr/>
        <w:t xml:space="preserve">Cena, alojamiento y desayuno en el hotel Coylumbridge, Highlander Hotel, MacDonald Aviemore hotel, Highland Hotel de Aviemore o similar de la zona.</w:t>
      </w:r>
    </w:p>
    <w:p>
      <w:pPr/>
      <w:r>
        <w:rPr>
          <w:b w:val="1"/>
          <w:bCs w:val="1"/>
        </w:rPr>
        <w:t xml:space="preserve">DÍA 04 HIGHLANDS – PITLOCHRY – STIRLING – EDIMBURGO.</w:t>
      </w:r>
      <w:br/>
      <w:r>
        <w:rPr/>
        <w:t xml:space="preserve">Después del desayuno, nos dirigiremos por paisajes de media montaña hacia Pitlochry. Allí visitaremos una destilería de whisky, donde conoceremos su método de preparación y degustaremos la bebida nacional escocesa. Continuaremos nuestro recorrido hacia Callander y Stirling, donde se originó uno de los enfrentamientos más importantes de las guerras de independencia entre Escocia e Inglaterra. La batalla de Stirling Bridge (conocida a través de la película Braveheart) en 1297 fue la mayor victoria de William Wallace y le convirtió en el líder indiscutible de la resistencia contra los ingleses. Visitaremos el Castillo de Stirling, situado sobre un promontorio rocoso con impresionantes vistas. Tiempo libre para el almuerzo. A continuación, proseguiremos hacia Edimburgo, donde haremos una visita panorámica de la ciudad antes de nuestra llegada al hotel. Esta noche tendrán la posibilidad de participar en una cena escocesa amenizada por el folclore típico escocés (opcional).</w:t>
      </w:r>
    </w:p>
    <w:p>
      <w:pPr/>
      <w:r>
        <w:rPr/>
        <w:t xml:space="preserve">Alojamiento y desayuno en el hotel Holiday Inn Express Edinburgh City Centre, Holiday Inn Edinburgh Zoo, Hampton by Hilton Edinburgh, Braids Hill o similar.</w:t>
      </w:r>
    </w:p>
    <w:p>
      <w:pPr/>
      <w:r>
        <w:rPr>
          <w:b w:val="1"/>
          <w:bCs w:val="1"/>
        </w:rPr>
        <w:t xml:space="preserve">DÍA 05 EDIMBURGO.</w:t>
      </w:r>
      <w:br/>
      <w:r>
        <w:rPr/>
        <w:t xml:space="preserve">Día libre para gozar de la encantadora ciudad de Edimburgo, tendrán entrada para visitar el Castillo de Edimburgo por su cuenta. Entre las principales atracciones de la capital escocesa se encuentran: el Palacio de Holyrood, la Catedral de St. Giles, la Galería Nacional de Escocia y el Yate Real Britannia. Edimburgo se considera la segunda ciudad más visitada del Reino Unido, después de Londres, y es también sede del parlamento escocés desde 1999. Imprescindible recorrer la ciudad medieval con su bulliciosa Milla Real, llamada así porque era la milla que recorrían los reyes escoceses entre el Palacio de Holyrood y el Castillo de Edimburgo, y la elegante ciudad georgiana y su calle comercial Princess St con sus jardines.</w:t>
      </w:r>
    </w:p>
    <w:p>
      <w:pPr/>
      <w:r>
        <w:rPr/>
        <w:t xml:space="preserve">Alojamiento y desayuno en el hotel hotel Holiday Inn Express Edinburgh City Centre, Holiday Inn Edinburgh Zoo, Hampton by Hilton Edinburgh, Braids Hill o similar.</w:t>
      </w:r>
    </w:p>
    <w:p>
      <w:pPr/>
      <w:r>
        <w:rPr>
          <w:b w:val="1"/>
          <w:bCs w:val="1"/>
        </w:rPr>
        <w:t xml:space="preserve">DÍA 06 EDIMBURGO – JEDBURGH – DURHAM – YORK – HARROGATE.</w:t>
      </w:r>
      <w:br/>
      <w:r>
        <w:rPr/>
        <w:t xml:space="preserve">Dejaremos Edimburgo por el sur y a través de los ondulantes paisajes de las Tierras Bajas nos dirigiremos a Jedburgh, escenario de luchas fronterizas, donde visitaremos los restos de su Abadía Agustina. Nuestra ruta continuará hacia la histórica ciudad de Durham, dominada por su magnífica catedral. Tiempo libre para el almuerzo. Proseguiremos hacia York, bella ciudad de origen romano y una amplia historia ligada a vikingos y sajones. Tendremos tiempo para efectuar un pequeño recorrido por sus encantadoras calles y tendrán la oportunidad de ver el exterior de la mayor catedral gótica del norte de Europa.</w:t>
      </w:r>
    </w:p>
    <w:p>
      <w:pPr/>
      <w:r>
        <w:rPr/>
        <w:t xml:space="preserve">Cena, alojamiento y desayuno en el Crowne Plaza Harrogate, Cedar Court Hotel, Yorkshire o similar.</w:t>
      </w:r>
    </w:p>
    <w:p>
      <w:pPr/>
      <w:r>
        <w:rPr>
          <w:b w:val="1"/>
          <w:bCs w:val="1"/>
        </w:rPr>
        <w:t xml:space="preserve">DÍA 07 HARROGATE – CAMBRIDGE – LONDRES.</w:t>
      </w:r>
      <w:br/>
      <w:r>
        <w:rPr/>
        <w:t xml:space="preserve">Nuestra ruta nos conducirá hacia el sur hasta llegar a la encantadora ciudad universitaria de Cambridge, que no solo rivaliza con Oxford en su educación y deporte, sino también en su belleza y riqueza arquitectónica. Dispondremos de tiempo libre para el almuerzo y para pasear por sus colegios universitarios e históricas calles. Desde Cambridge regresamos directamente a Londres donde llegaremos hacia las 18.00 horas.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SALIDA DESDE LONDRES</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01</w:t>
            </w:r>
          </w:p>
          <w:p>
            <w:pPr>
              <w:jc w:val="start"/>
              <w:spacing w:before="0" w:after="0"/>
            </w:pPr>
          </w:p>
        </w:tc>
        <w:tc>
          <w:tcPr>
            <w:tcW w:w="7800" w:type="dxa"/>
            <w:noWrap/>
          </w:tcPr>
          <w:p>
            <w:pPr>
              <w:jc w:val="start"/>
              <w:spacing w:before="0" w:after="0"/>
            </w:pPr>
            <w:r>
              <w:rPr/>
              <w:t xml:space="preserve">08</w:t>
            </w:r>
          </w:p>
          <w:p>
            <w:pPr>
              <w:jc w:val="start"/>
              <w:spacing w:before="0" w:after="0"/>
            </w:pPr>
          </w:p>
        </w:tc>
        <w:tc>
          <w:tcPr>
            <w:tcW w:w="7800" w:type="dxa"/>
            <w:noWrap/>
          </w:tcPr>
          <w:p>
            <w:pPr>
              <w:jc w:val="start"/>
              <w:spacing w:before="0" w:after="0"/>
            </w:pPr>
            <w:r>
              <w:rPr/>
              <w:t xml:space="preserve">15</w:t>
            </w:r>
          </w:p>
          <w:p>
            <w:pPr>
              <w:jc w:val="start"/>
              <w:spacing w:before="0" w:after="0"/>
            </w:pPr>
          </w:p>
        </w:tc>
        <w:tc>
          <w:tcPr>
            <w:tcW w:w="7800" w:type="dxa"/>
            <w:noWrap/>
          </w:tcPr>
          <w:p>
            <w:pPr>
              <w:jc w:val="start"/>
              <w:spacing w:before="0" w:after="0"/>
            </w:pPr>
            <w:r>
              <w:rPr/>
              <w:t xml:space="preserve">22</w:t>
            </w:r>
          </w:p>
          <w:p>
            <w:pPr>
              <w:jc w:val="start"/>
              <w:spacing w:before="0" w:after="0"/>
            </w:pPr>
          </w:p>
        </w:tc>
        <w:tc>
          <w:tcPr>
            <w:tcW w:w="7800" w:type="dxa"/>
            <w:noWrap/>
          </w:tcPr>
          <w:p>
            <w:pPr>
              <w:jc w:val="start"/>
              <w:spacing w:before="0" w:after="0"/>
            </w:pPr>
            <w:r>
              <w:rPr/>
              <w:t xml:space="preserve">29</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06</w:t>
            </w:r>
          </w:p>
          <w:p>
            <w:pPr>
              <w:jc w:val="start"/>
              <w:spacing w:before="0" w:after="0"/>
            </w:pPr>
          </w:p>
        </w:tc>
        <w:tc>
          <w:tcPr>
            <w:tcW w:w="7800" w:type="dxa"/>
            <w:noWrap/>
          </w:tcPr>
          <w:p>
            <w:pPr>
              <w:jc w:val="start"/>
              <w:spacing w:before="0" w:after="0"/>
            </w:pPr>
            <w:r>
              <w:rPr/>
              <w:t xml:space="preserve">13</w:t>
            </w:r>
          </w:p>
          <w:p>
            <w:pPr>
              <w:jc w:val="start"/>
              <w:spacing w:before="0" w:after="0"/>
            </w:pPr>
          </w:p>
        </w:tc>
        <w:tc>
          <w:tcPr>
            <w:tcW w:w="7800" w:type="dxa"/>
            <w:noWrap/>
          </w:tcPr>
          <w:p>
            <w:pPr>
              <w:jc w:val="start"/>
              <w:spacing w:before="0" w:after="0"/>
            </w:pPr>
            <w:r>
              <w:rPr/>
              <w:t xml:space="preserve">20</w:t>
            </w:r>
          </w:p>
          <w:p>
            <w:pPr>
              <w:jc w:val="start"/>
              <w:spacing w:before="0" w:after="0"/>
            </w:pPr>
          </w:p>
        </w:tc>
        <w:tc>
          <w:tcPr>
            <w:tcW w:w="7800" w:type="dxa"/>
            <w:noWrap/>
          </w:tcPr>
          <w:p>
            <w:pPr>
              <w:jc w:val="start"/>
              <w:spacing w:before="0" w:after="0"/>
            </w:pPr>
            <w:r>
              <w:rPr/>
              <w:t xml:space="preserve">27</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03</w:t>
            </w:r>
          </w:p>
          <w:p>
            <w:pPr>
              <w:jc w:val="start"/>
              <w:spacing w:before="0" w:after="0"/>
            </w:pPr>
          </w:p>
        </w:tc>
        <w:tc>
          <w:tcPr>
            <w:tcW w:w="7800" w:type="dxa"/>
            <w:noWrap/>
          </w:tcPr>
          <w:p>
            <w:pPr>
              <w:jc w:val="start"/>
              <w:spacing w:before="0" w:after="0"/>
            </w:pPr>
            <w:r>
              <w:rPr/>
              <w:t xml:space="preserve">10</w:t>
            </w:r>
          </w:p>
          <w:p>
            <w:pPr>
              <w:jc w:val="start"/>
              <w:spacing w:before="0" w:after="0"/>
            </w:pPr>
          </w:p>
        </w:tc>
        <w:tc>
          <w:tcPr>
            <w:tcW w:w="7800" w:type="dxa"/>
            <w:noWrap/>
          </w:tcPr>
          <w:p>
            <w:pPr>
              <w:jc w:val="start"/>
              <w:spacing w:before="0" w:after="0"/>
            </w:pPr>
            <w:r>
              <w:rPr/>
              <w:t xml:space="preserve">17</w:t>
            </w:r>
          </w:p>
          <w:p>
            <w:pPr>
              <w:jc w:val="start"/>
              <w:spacing w:before="0" w:after="0"/>
            </w:pPr>
          </w:p>
        </w:tc>
        <w:tc>
          <w:tcPr>
            <w:tcW w:w="7800" w:type="dxa"/>
            <w:noWrap/>
          </w:tcPr>
          <w:p>
            <w:pPr>
              <w:jc w:val="start"/>
              <w:spacing w:before="0" w:after="0"/>
            </w:pPr>
            <w:r>
              <w:rPr/>
              <w:t xml:space="preserve">24</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07</w:t>
            </w:r>
          </w:p>
          <w:p>
            <w:pPr>
              <w:jc w:val="start"/>
              <w:spacing w:before="0" w:after="0"/>
            </w:pPr>
          </w:p>
        </w:tc>
        <w:tc>
          <w:tcPr>
            <w:tcW w:w="7800" w:type="dxa"/>
            <w:noWrap/>
          </w:tcPr>
          <w:p>
            <w:pPr>
              <w:jc w:val="start"/>
              <w:spacing w:before="0" w:after="0"/>
            </w:pPr>
            <w:r>
              <w:rPr/>
              <w:t xml:space="preserve">14</w:t>
            </w:r>
          </w:p>
          <w:p>
            <w:pPr>
              <w:jc w:val="start"/>
              <w:spacing w:before="0" w:after="0"/>
            </w:pPr>
          </w:p>
        </w:tc>
        <w:tc>
          <w:tcPr>
            <w:tcW w:w="7800" w:type="dxa"/>
            <w:noWrap/>
          </w:tcPr>
          <w:p>
            <w:pPr>
              <w:jc w:val="start"/>
              <w:spacing w:before="0" w:after="0"/>
            </w:pPr>
            <w:r>
              <w:rPr/>
              <w:t xml:space="preserve">21</w:t>
            </w:r>
          </w:p>
          <w:p>
            <w:pPr>
              <w:jc w:val="start"/>
              <w:spacing w:before="0" w:after="0"/>
            </w:pPr>
          </w:p>
        </w:tc>
        <w:tc>
          <w:tcPr>
            <w:tcW w:w="7800" w:type="dxa"/>
            <w:noWrap/>
          </w:tcPr>
          <w:p>
            <w:pPr>
              <w:jc w:val="start"/>
              <w:spacing w:before="0" w:after="0"/>
            </w:pPr>
            <w:r>
              <w:rPr/>
              <w:t xml:space="preserve">28</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05</w:t>
            </w:r>
          </w:p>
          <w:p>
            <w:pPr>
              <w:jc w:val="start"/>
              <w:spacing w:before="0" w:after="0"/>
            </w:pPr>
          </w:p>
        </w:tc>
        <w:tc>
          <w:tcPr>
            <w:tcW w:w="7800" w:type="dxa"/>
            <w:noWrap/>
          </w:tcPr>
          <w:p>
            <w:pPr>
              <w:jc w:val="start"/>
              <w:spacing w:before="0" w:after="0"/>
            </w:pPr>
            <w:r>
              <w:rPr/>
              <w:t xml:space="preserve">19</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09</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2025</w:t>
            </w:r>
          </w:p>
          <w:p>
            <w:pPr>
              <w:jc w:val="start"/>
              <w:spacing w:before="0" w:after="0"/>
            </w:pPr>
          </w:p>
        </w:tc>
        <w:tc>
          <w:tcPr>
            <w:tcW w:w="7800" w:type="dxa"/>
            <w:noWrap/>
          </w:tcPr>
          <w:p>
            <w:pPr>
              <w:jc w:val="start"/>
              <w:spacing w:before="0" w:after="0"/>
            </w:pPr>
            <w:r>
              <w:rPr/>
              <w:t xml:space="preserve">14</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2026</w:t>
            </w:r>
          </w:p>
          <w:p>
            <w:pPr>
              <w:jc w:val="start"/>
              <w:spacing w:before="0" w:after="0"/>
            </w:pPr>
          </w:p>
        </w:tc>
        <w:tc>
          <w:tcPr>
            <w:tcW w:w="7800" w:type="dxa"/>
            <w:noWrap/>
          </w:tcPr>
          <w:p>
            <w:pPr>
              <w:jc w:val="start"/>
              <w:spacing w:before="0" w:after="0"/>
            </w:pPr>
            <w:r>
              <w:rPr/>
              <w:t xml:space="preserve">04</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2026</w:t>
            </w:r>
          </w:p>
          <w:p>
            <w:pPr>
              <w:jc w:val="start"/>
              <w:spacing w:before="0" w:after="0"/>
            </w:pPr>
          </w:p>
        </w:tc>
        <w:tc>
          <w:tcPr>
            <w:tcW w:w="7800" w:type="dxa"/>
            <w:noWrap/>
          </w:tcPr>
          <w:p>
            <w:pPr>
              <w:jc w:val="start"/>
              <w:spacing w:before="0" w:after="0"/>
            </w:pPr>
            <w:r>
              <w:rPr/>
              <w:t xml:space="preserve">01</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2026</w:t>
            </w:r>
          </w:p>
          <w:p>
            <w:pPr>
              <w:jc w:val="start"/>
              <w:spacing w:before="0" w:after="0"/>
            </w:pPr>
          </w:p>
        </w:tc>
        <w:tc>
          <w:tcPr>
            <w:tcW w:w="7800" w:type="dxa"/>
            <w:noWrap/>
          </w:tcPr>
          <w:p>
            <w:pPr>
              <w:jc w:val="start"/>
              <w:spacing w:before="0" w:after="0"/>
            </w:pPr>
            <w:r>
              <w:rPr/>
              <w:t xml:space="preserve">01</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c>
          <w:tcPr>
            <w:tcW w:w="7800" w:type="dxa"/>
            <w:noWrap/>
          </w:tcPr>
          <w:p>
            <w:pPr>
              <w:jc w:val="start"/>
              <w:spacing w:before="0" w:after="0"/>
            </w:pPr>
            <w:r>
              <w:rPr/>
              <w:t xml:space="preserve">-</w:t>
            </w:r>
          </w:p>
          <w:p>
            <w:pPr>
              <w:jc w:val="start"/>
              <w:spacing w:before="0" w:after="0"/>
            </w:pP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Lo mejor de Inglaterra y Escocía. (Junio 01,08,15,22,29 - Julio 06,13,20,27/2025).</w:t>
            </w:r>
          </w:p>
        </w:tc>
        <w:tc>
          <w:tcPr>
            <w:tcW w:w="7800" w:type="dxa"/>
            <w:noWrap/>
          </w:tcPr>
          <w:p>
            <w:pPr>
              <w:jc w:val="start"/>
              <w:spacing w:before="0" w:after="0"/>
            </w:pPr>
            <w:r>
              <w:rPr/>
              <w:t xml:space="preserve">USD 1.860</w:t>
            </w:r>
          </w:p>
        </w:tc>
        <w:tc>
          <w:tcPr>
            <w:tcW w:w="7800" w:type="dxa"/>
            <w:noWrap/>
          </w:tcPr>
          <w:p>
            <w:pPr>
              <w:jc w:val="start"/>
              <w:spacing w:before="0" w:after="0"/>
            </w:pPr>
            <w:r>
              <w:rPr/>
              <w:t xml:space="preserve">USD 2.565</w:t>
            </w:r>
          </w:p>
        </w:tc>
      </w:tr>
      <w:tr>
        <w:trPr/>
        <w:tc>
          <w:tcPr>
            <w:tcW w:w="7800" w:type="dxa"/>
            <w:noWrap/>
          </w:tcPr>
          <w:p>
            <w:pPr>
              <w:jc w:val="start"/>
              <w:spacing w:before="0" w:after="0"/>
            </w:pPr>
            <w:r>
              <w:rPr/>
              <w:t xml:space="preserve">Lo mejor de Inglaterra y Escocía. (Agosto 03,10,17,24/2025).</w:t>
            </w:r>
          </w:p>
        </w:tc>
        <w:tc>
          <w:tcPr>
            <w:tcW w:w="7800" w:type="dxa"/>
            <w:noWrap/>
          </w:tcPr>
          <w:p>
            <w:pPr>
              <w:jc w:val="start"/>
              <w:spacing w:before="0" w:after="0"/>
            </w:pPr>
            <w:r>
              <w:rPr/>
              <w:t xml:space="preserve">USD 2.070</w:t>
            </w:r>
          </w:p>
        </w:tc>
        <w:tc>
          <w:tcPr>
            <w:tcW w:w="7800" w:type="dxa"/>
            <w:noWrap/>
          </w:tcPr>
          <w:p>
            <w:pPr>
              <w:jc w:val="start"/>
              <w:spacing w:before="0" w:after="0"/>
            </w:pPr>
            <w:r>
              <w:rPr/>
              <w:t xml:space="preserve">USD 2.993</w:t>
            </w:r>
          </w:p>
        </w:tc>
      </w:tr>
      <w:tr>
        <w:trPr/>
        <w:tc>
          <w:tcPr>
            <w:tcW w:w="7800" w:type="dxa"/>
            <w:noWrap/>
          </w:tcPr>
          <w:p>
            <w:pPr>
              <w:jc w:val="start"/>
              <w:spacing w:before="0" w:after="0"/>
            </w:pPr>
            <w:r>
              <w:rPr/>
              <w:t xml:space="preserve">Lo mejor de Inglaterra y Escocía. (Septiembre 07,14,21,28 – Octubre 05,19 ).</w:t>
            </w:r>
          </w:p>
        </w:tc>
        <w:tc>
          <w:tcPr>
            <w:tcW w:w="7800" w:type="dxa"/>
            <w:noWrap/>
          </w:tcPr>
          <w:p>
            <w:pPr>
              <w:jc w:val="start"/>
              <w:spacing w:before="0" w:after="0"/>
            </w:pPr>
            <w:r>
              <w:rPr/>
              <w:t xml:space="preserve">USD 1.808</w:t>
            </w:r>
          </w:p>
        </w:tc>
        <w:tc>
          <w:tcPr>
            <w:tcW w:w="7800" w:type="dxa"/>
            <w:noWrap/>
          </w:tcPr>
          <w:p>
            <w:pPr>
              <w:jc w:val="start"/>
              <w:spacing w:before="0" w:after="0"/>
            </w:pPr>
            <w:r>
              <w:rPr/>
              <w:t xml:space="preserve">USD 2.430</w:t>
            </w:r>
          </w:p>
        </w:tc>
      </w:tr>
      <w:tr>
        <w:trPr/>
        <w:tc>
          <w:tcPr>
            <w:tcW w:w="7800" w:type="dxa"/>
            <w:noWrap/>
          </w:tcPr>
          <w:p>
            <w:pPr>
              <w:jc w:val="start"/>
              <w:spacing w:before="0" w:after="0"/>
            </w:pPr>
            <w:r>
              <w:rPr/>
              <w:t xml:space="preserve">Lo mejor de Inglaterra y Escocía. (Nov 09, Dic 14/2025, Ene 04, Feb 01, Mar 01/2026).</w:t>
            </w:r>
          </w:p>
        </w:tc>
        <w:tc>
          <w:tcPr>
            <w:tcW w:w="7800" w:type="dxa"/>
            <w:noWrap/>
          </w:tcPr>
          <w:p>
            <w:pPr>
              <w:jc w:val="start"/>
              <w:spacing w:before="0" w:after="0"/>
            </w:pPr>
            <w:r>
              <w:rPr/>
              <w:t xml:space="preserve">USD 1.560</w:t>
            </w:r>
          </w:p>
        </w:tc>
        <w:tc>
          <w:tcPr>
            <w:tcW w:w="7800" w:type="dxa"/>
            <w:noWrap/>
          </w:tcPr>
          <w:p>
            <w:pPr>
              <w:jc w:val="start"/>
              <w:spacing w:before="0" w:after="0"/>
            </w:pPr>
            <w:r>
              <w:rPr/>
              <w:t xml:space="preserve">USD 1.973</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Liverpool</w:t>
            </w:r>
          </w:p>
        </w:tc>
        <w:tc>
          <w:tcPr>
            <w:tcW w:w="7800" w:type="dxa"/>
            <w:noWrap/>
          </w:tcPr>
          <w:p>
            <w:pPr>
              <w:jc w:val="start"/>
              <w:spacing w:before="0" w:after="0"/>
            </w:pPr>
            <w:r>
              <w:rPr/>
              <w:t xml:space="preserve">Hotel Marriott Liverpool City Centre (4*) o similar.</w:t>
            </w:r>
          </w:p>
        </w:tc>
      </w:tr>
      <w:tr>
        <w:trPr/>
        <w:tc>
          <w:tcPr>
            <w:tcW w:w="7800" w:type="dxa"/>
            <w:noWrap/>
          </w:tcPr>
          <w:p>
            <w:pPr>
              <w:jc w:val="start"/>
              <w:spacing w:before="0" w:after="0"/>
            </w:pPr>
            <w:r>
              <w:rPr/>
              <w:t xml:space="preserve">Glasgow</w:t>
            </w:r>
          </w:p>
        </w:tc>
        <w:tc>
          <w:tcPr>
            <w:tcW w:w="7800" w:type="dxa"/>
            <w:noWrap/>
          </w:tcPr>
          <w:p>
            <w:pPr>
              <w:jc w:val="start"/>
              <w:spacing w:before="0" w:after="0"/>
            </w:pPr>
            <w:r>
              <w:rPr/>
              <w:t xml:space="preserve">Marriott Glasgow (4*) / Jurys Inn Glasgow (4*) o similar.</w:t>
            </w:r>
          </w:p>
        </w:tc>
      </w:tr>
      <w:tr>
        <w:trPr/>
        <w:tc>
          <w:tcPr>
            <w:tcW w:w="7800" w:type="dxa"/>
            <w:noWrap/>
          </w:tcPr>
          <w:p>
            <w:pPr>
              <w:jc w:val="start"/>
              <w:spacing w:before="0" w:after="0"/>
            </w:pPr>
            <w:r>
              <w:rPr/>
              <w:t xml:space="preserve">Highlands</w:t>
            </w:r>
          </w:p>
        </w:tc>
        <w:tc>
          <w:tcPr>
            <w:tcW w:w="7800" w:type="dxa"/>
            <w:noWrap/>
          </w:tcPr>
          <w:p>
            <w:pPr>
              <w:jc w:val="start"/>
              <w:spacing w:before="0" w:after="0"/>
            </w:pPr>
            <w:r>
              <w:rPr/>
              <w:t xml:space="preserve">MacDonald Aviemore (4*) / Highland Hotel de Aviemore (4*) / Craiglynne Hotel (3*) o similar de la zona.</w:t>
            </w:r>
          </w:p>
        </w:tc>
      </w:tr>
      <w:tr>
        <w:trPr/>
        <w:tc>
          <w:tcPr>
            <w:tcW w:w="7800" w:type="dxa"/>
            <w:noWrap/>
          </w:tcPr>
          <w:p>
            <w:pPr>
              <w:jc w:val="start"/>
              <w:spacing w:before="0" w:after="0"/>
            </w:pPr>
            <w:r>
              <w:rPr/>
              <w:t xml:space="preserve">Edimburgo</w:t>
            </w:r>
          </w:p>
        </w:tc>
        <w:tc>
          <w:tcPr>
            <w:tcW w:w="7800" w:type="dxa"/>
            <w:noWrap/>
          </w:tcPr>
          <w:p>
            <w:pPr>
              <w:jc w:val="start"/>
              <w:spacing w:before="0" w:after="0"/>
            </w:pPr>
            <w:r>
              <w:rPr/>
              <w:t xml:space="preserve">Holiday Inn Express Edinburgh City Centre (3*) / Holiday Inn Edinburgh Zoo (4*) / Hampton by Hilton Edinburgh (3*) / Braid Hills (3*) o similar.</w:t>
            </w:r>
          </w:p>
        </w:tc>
      </w:tr>
      <w:tr>
        <w:trPr/>
        <w:tc>
          <w:tcPr>
            <w:tcW w:w="7800" w:type="dxa"/>
            <w:noWrap/>
          </w:tcPr>
          <w:p>
            <w:pPr>
              <w:jc w:val="start"/>
              <w:spacing w:before="0" w:after="0"/>
            </w:pPr>
            <w:r>
              <w:rPr/>
              <w:t xml:space="preserve">Harrogate</w:t>
            </w:r>
          </w:p>
        </w:tc>
        <w:tc>
          <w:tcPr>
            <w:tcW w:w="7800" w:type="dxa"/>
            <w:noWrap/>
          </w:tcPr>
          <w:p>
            <w:pPr>
              <w:jc w:val="start"/>
              <w:spacing w:before="0" w:after="0"/>
            </w:pPr>
            <w:r>
              <w:rPr/>
              <w:t xml:space="preserve">Crowne Plaza Harrogate / Cedar Court Hotel (4*) / Yorkshire (3*)</w:t>
            </w:r>
          </w:p>
        </w:tc>
      </w:tr>
      <w:tr>
        <w:trPr/>
        <w:tc>
          <w:tcPr>
            <w:tcW w:w="7800" w:type="dxa"/>
            <w:noWrap/>
          </w:tcPr>
          <w:p>
            <w:pPr>
              <w:jc w:val="start"/>
              <w:spacing w:before="0" w:after="0"/>
            </w:pPr>
            <w:r>
              <w:rPr/>
              <w:t xml:space="preserve">Londres (Opcional)</w:t>
            </w:r>
          </w:p>
        </w:tc>
        <w:tc>
          <w:tcPr>
            <w:tcW w:w="7800" w:type="dxa"/>
            <w:noWrap/>
          </w:tcPr>
          <w:p>
            <w:pPr>
              <w:jc w:val="start"/>
              <w:spacing w:before="0" w:after="0"/>
            </w:pPr>
            <w:r>
              <w:rPr/>
              <w:t xml:space="preserve">Hotel President (3*) o similar.</w:t>
            </w:r>
          </w:p>
        </w:tc>
      </w:tr>
      <w:tr>
        <w:trPr/>
        <w:tc>
          <w:tcPr>
            <w:tcW w:w="7800" w:type="dxa"/>
            <w:noWrap/>
          </w:tcPr>
          <w:p>
            <w:pPr>
              <w:jc w:val="start"/>
              <w:spacing w:before="0" w:after="0"/>
            </w:pPr>
            <w:r>
              <w:rPr>
                <w:b w:val="1"/>
                <w:bCs w:val="1"/>
              </w:rPr>
              <w:t xml:space="preserve">HOTELES DE RECODIGA</w:t>
            </w:r>
          </w:p>
        </w:tc>
        <w:tc>
          <w:tcPr>
            <w:tcW w:w="7800" w:type="dxa"/>
            <w:noWrap/>
          </w:tcPr>
          <w:p>
            <w:pPr>
              <w:jc w:val="start"/>
              <w:spacing w:before="0" w:after="0"/>
            </w:pPr>
            <w:r>
              <w:rPr/>
              <w:t xml:space="preserve">Royal National (08.10hrs)</w:t>
            </w:r>
          </w:p>
        </w:tc>
      </w:tr>
      <w:tr>
        <w:trPr/>
        <w:tc>
          <w:tcPr>
            <w:tcW w:w="7800" w:type="dxa"/>
            <w:noWrap/>
          </w:tcPr>
          <w:p>
            <w:pPr>
              <w:jc w:val="start"/>
              <w:spacing w:before="0" w:after="0"/>
            </w:pPr>
            <w:r>
              <w:rPr/>
              <w:t xml:space="preserve">Meliá White House (08.25hrs)</w:t>
            </w:r>
          </w:p>
        </w:tc>
      </w:tr>
      <w:tr>
        <w:trPr/>
        <w:tc>
          <w:tcPr>
            <w:tcW w:w="7800" w:type="dxa"/>
            <w:noWrap/>
          </w:tcPr>
          <w:p>
            <w:pPr>
              <w:jc w:val="start"/>
              <w:spacing w:before="0" w:after="0"/>
            </w:pPr>
            <w:r>
              <w:rPr/>
              <w:t xml:space="preserve">Thistle Marble Arch (08.40hrs)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3 noches de alojamiento en media pensión.</w:t>
      </w:r>
    </w:p>
    <w:p>
      <w:pPr>
        <w:numPr>
          <w:ilvl w:val="1"/>
          <w:numId w:val="4"/>
        </w:numPr>
      </w:pPr>
      <w:r>
        <w:rPr/>
        <w:t xml:space="preserve">3 noches de alojamiento con desayuno.</w:t>
      </w:r>
    </w:p>
    <w:p>
      <w:pPr>
        <w:numPr>
          <w:ilvl w:val="1"/>
          <w:numId w:val="4"/>
        </w:numPr>
      </w:pPr>
      <w:r>
        <w:rPr/>
        <w:t xml:space="preserve">Entradas a las Ruinas de Castillo de Urquhart, Experiencia de Cata de Whisky, Castillo de Stirling, Castillo de Edimburgo y Abadía de Jedburgh.</w:t>
      </w:r>
    </w:p>
    <w:p>
      <w:pPr>
        <w:numPr>
          <w:ilvl w:val="1"/>
          <w:numId w:val="4"/>
        </w:numPr>
      </w:pPr>
      <w:r>
        <w:rPr/>
        <w:t xml:space="preserve">Para para hacer fotos exteriores de la casa de Shakespeare.</w:t>
      </w:r>
    </w:p>
    <w:p>
      <w:pPr>
        <w:numPr>
          <w:ilvl w:val="1"/>
          <w:numId w:val="4"/>
        </w:numPr>
      </w:pPr>
      <w:r>
        <w:rPr/>
        <w:t xml:space="preserve">Tour panorámico de Liverpool, Glasgow, y Edimburgo.</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Traslados Aeropuerto - Hotel – Aeropuerto.</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06CA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E098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733C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654F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2025-08-12T20:57:31+00:00</dcterms:created>
  <dcterms:modified xsi:type="dcterms:W3CDTF">2025-08-12T20:57:31+00:00</dcterms:modified>
</cp:coreProperties>
</file>

<file path=docProps/custom.xml><?xml version="1.0" encoding="utf-8"?>
<Properties xmlns="http://schemas.openxmlformats.org/officeDocument/2006/custom-properties" xmlns:vt="http://schemas.openxmlformats.org/officeDocument/2006/docPropsVTypes"/>
</file>