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INGLATERRA CLÁSICA                    </w:t>
      </w:r>
    </w:p>
    <w:p>
      <w:pPr/>
      <w:r>
        <w:rPr>
          <w:rFonts w:ascii="Arial" w:hAnsi="Arial" w:eastAsia="Arial" w:cs="Arial"/>
          <w:color w:val="light"/>
          <w:sz w:val="22"/>
          <w:szCs w:val="22"/>
          <w:b w:val="0"/>
          <w:bCs w:val="0"/>
        </w:rPr>
        <w:t xml:space="preserve">MTC - 18289</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$1508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Inglaterra,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Londres, </w:t>
      </w:r>
      <w:r>
        <w:rPr/>
        <w:t xml:space="preserve">York, </w:t>
      </w:r>
      <w:r>
        <w:rPr/>
        <w:t xml:space="preserve">Liverpool, </w:t>
      </w:r>
      <w:r>
        <w:rPr/>
        <w:t xml:space="preserve">Bath, </w:t>
      </w:r>
      <w:r>
        <w:rPr/>
        <w:t xml:space="preserve">Londres,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LONDRES – CAMBRIDGE – YORK.</w:t>
      </w:r>
      <w:br/>
      <w:r>
        <w:rPr/>
        <w:t xml:space="preserve">Dejaremos Londres por el norte hacia la ciudad universitaria de Cambridge. En un recorrido a pie podrán admirar arquitecturas de diferentes épocas en los antiquísimos Colegios Universitarios. Esta universidad ha generado grandes genios y personalidades que han dado forma al mundo, como Newton, Stephen Hawkins y Alan Turing, el padre de la computación, entre muchos otros. De camino a York pasaremos por el bosque de Sherwood, donde nace la leyenda de Robin Hood y haremos una parada en ruta para almorzar. York es una bellísima ciudad de origen romano con una amplia historia ligada a vikingos y sajones. Antes de ir al hotel haremos un recorrido a pie por sus encantadoras calles medievales donde tendrán la oportunidad de conocer la mayor catedral gótica del norte de Europa y caminar por su muralla medieval. Por la noche se recomienda pasear por la ciudad iluminada y visitar uno de sus típicos pubs.</w:t>
      </w:r>
    </w:p>
    <w:p>
      <w:pPr/>
      <w:r>
        <w:rPr/>
        <w:t xml:space="preserve">Alojamiento y desayuno en el Hampton by Hilton York Hotel, Park InnYork o similar.</w:t>
      </w:r>
    </w:p>
    <w:p>
      <w:pPr/>
      <w:r>
        <w:rPr>
          <w:b w:val="1"/>
          <w:bCs w:val="1"/>
        </w:rPr>
        <w:t xml:space="preserve">DÍA 02 YORK – BARNARD CASTLE – DISTRITO DE LOS LAGOS – LIVERPOOL.</w:t>
      </w:r>
      <w:br/>
      <w:r>
        <w:rPr/>
        <w:t xml:space="preserve">Es un día paisajista donde conoceremos dos parques nacionales; “Yorkshire Penines” y Distrito de los Lagos. Después del desayuno cruzaremos la hermosa campiña de Yorkshire para llegar a la ciudad medieval de Barnard Castle, donde haremos una breve parada para conocer sus calles legendarias. A continuación, nos adentraremos en los verdes valles y colinas del parque nacional de los “Yorkshire Penines”, inmutable durante miles de años, se considera la espina dorsal de Inglaterra. Llegaremos al Distrito de los Lagos, una de las regiones más hermosas del país, que ha inspirado a numerosos poetas románticos ingleses y donde la sensación de paz es abrumadora. Es aquí donde tendremos tiempo para el almuerzo y por la tarde haremos un paseo en barco por el lago Windermere. Proseguiremos hacia Liverpool, ciudad portuaria de la que partieron millones de emigrantes al nuevo mundo y cuna del famoso grupo Rock; “Los Beatles”. Después de cenar en el hotel se podrá visitar el mítico “Cavern Club”, donde los Beatles tocaron casi 300 conciertos.</w:t>
      </w:r>
    </w:p>
    <w:p>
      <w:pPr/>
      <w:r>
        <w:rPr/>
        <w:t xml:space="preserve">Cena, alojamiento y desayuno en el Delta by Marriott Liverpool Hotel, Mercure Liverpool Atlantic Tower Hotel o similar</w:t>
      </w:r>
    </w:p>
    <w:p>
      <w:pPr/>
      <w:r>
        <w:rPr>
          <w:b w:val="1"/>
          <w:bCs w:val="1"/>
        </w:rPr>
        <w:t xml:space="preserve">DÍA 03 LIVERPOOL – CHESTER – LIVERPOOL.</w:t>
      </w:r>
      <w:br/>
      <w:r>
        <w:rPr/>
        <w:t xml:space="preserve">Por la mañana saldremos hacia Chester, ciudad amurallada de origen romano que parece sacada de un cuento de hadas, donde haremos un recorrido a pie. Con sus casas de fachadas de madera de estilo neo tudor “Black andamp; White” y su magnífica catedral gótica. También tendremos tiempo libre para pasear por sus calles antes de salir de regreso a Liverpool. Llegaremos antes del almuerzo y realizaremos una Panorámica de Liverpool mágica y misteriosa para conocer la ciudad de Los Beatles y los lugares que inspiraron muchas de sus canciones. Conoceremos sus catedrales; la Catedral Metropolitana Católica y la Catedral Anglicana, y en la zona portuaria visitaremos la conocida “Albert Dock”, el Liverpool marítimo, una zona fascinante en la que se puede explorar el crecimiento de Liverpool y la nueva área cultural que se extiende más allá del puerto. Aquí encontraremos lugares como: el Museo Marítimo de Merseyside, la Galería “Tate”, el Museo de Liverpool, el British Music Experience o el museo The Beatles Story (visita opcional). Tarde libre en Liverpool para disfrutar de la ciudad.</w:t>
      </w:r>
    </w:p>
    <w:p>
      <w:pPr/>
      <w:r>
        <w:rPr/>
        <w:t xml:space="preserve">Alojamiento y desayuno en el Marriott Liverpool, Hotel Mercure Liverpool Atlantic Tower Hotel o similar.</w:t>
      </w:r>
    </w:p>
    <w:p>
      <w:pPr/>
      <w:r>
        <w:rPr>
          <w:b w:val="1"/>
          <w:bCs w:val="1"/>
        </w:rPr>
        <w:t xml:space="preserve">DÍA 04 LIVERPOOL – STRATFORD UPON AVON – BURTON ON THE WATER – BATH.</w:t>
      </w:r>
      <w:br/>
      <w:r>
        <w:rPr/>
        <w:t xml:space="preserve">Hoy, nuestro circuito nos llevará hacia StratfordUpon-Avon, una ciudad encantadora a los márgenes del rio Avon y lugar de nacimiento del dramaturgo William Shakespeare, haremos una breve panorámica a pie y tendremos tiempo libre para el almuerzo. Proseguiremos a través de los pintorescos pueblos de la región de los Cotswolds, con sus casitas de techo de paja y hermosos jardines, estaremos en lo más representativo del espíritu inglés. Haremos una corta pero agradable parada en Bourton-on-the-Water, la ‘Venecia de los Cotswolds’. Continuaremos nuestra ruta hacia el sur donde nos alojaremos en la ciudad de Bath o Bristol.</w:t>
      </w:r>
    </w:p>
    <w:p>
      <w:pPr/>
      <w:r>
        <w:rPr/>
        <w:t xml:space="preserve">Alojamiento y desayuno en el Mercure Holland House (4*) en Bristol, Hampton by Hilton Bath (4*) o similar.</w:t>
      </w:r>
    </w:p>
    <w:p>
      <w:pPr/>
      <w:r>
        <w:rPr>
          <w:b w:val="1"/>
          <w:bCs w:val="1"/>
        </w:rPr>
        <w:t xml:space="preserve">DÍA 05 BATH – STONEHENGE – SALISBURY – BATH.</w:t>
      </w:r>
      <w:br/>
      <w:r>
        <w:rPr/>
        <w:t xml:space="preserve">Esta mañana visitaremos el místico monumento de dólmenes de Stonehenge. El 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Después de la visita, nos dirigiremos a la ciudad de Salisbury en cuya catedral medieval se encuentra la copia mejor conservada de la Carta Magna firmada en 1215 por el Rey Juan I de Inglaterra. Por la tarde volveremos a Bath donde haremos una panorámica a pie de la cuidad paseando por sus calles adornadas de flores y tendremos tiempo libre de visitar las termas romanas (opcional). Tendrán la tarde libre en Bath.</w:t>
      </w:r>
    </w:p>
    <w:p>
      <w:pPr/>
      <w:r>
        <w:rPr/>
        <w:t xml:space="preserve">Alojamiento y desayuno en el Hampton by Hilton Bath, Mercure Holland House en Bristol o similar.</w:t>
      </w:r>
    </w:p>
    <w:p>
      <w:pPr/>
      <w:r>
        <w:rPr>
          <w:b w:val="1"/>
          <w:bCs w:val="1"/>
        </w:rPr>
        <w:t xml:space="preserve">DÍA 06 BATH – SALISBURY – WINCHESTER – LONDRES </w:t>
      </w:r>
      <w:br/>
      <w:r>
        <w:rPr/>
        <w:t xml:space="preserve">Abandonaremos Bath esta mañana para realizar una breve visita a pie por la encantadora ciudad de Salisbury, donde pasaremos por su catedral medieval, ya que aquí se encuentra la copia mejor conservada de la Carta Magna firmada en 1215 por el Rey Juan I de Inglaterra. Después, saldremos 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Pasaremos por el Gran Hall del Castillo de Winchester donde se encuentra la Mesa Redonda del Rey Arturo (entrada opcional). Finalmente, regresaremos a Londres a media tarde con tiempo para realizar alguna compra de última hora.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SALIDAS DESDE LONDRES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25</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Inglaterra Clásica 2025 (Abr, May, Jun, Jul, Ago, Sep, Oct)</w:t>
            </w:r>
          </w:p>
        </w:tc>
        <w:tc>
          <w:tcPr>
            <w:tcW w:w="7800" w:type="dxa"/>
            <w:noWrap/>
          </w:tcPr>
          <w:p>
            <w:pPr>
              <w:jc w:val="start"/>
              <w:spacing w:before="0" w:after="0"/>
            </w:pPr>
            <w:r>
              <w:rPr/>
              <w:t xml:space="preserve">USD 1.508</w:t>
            </w:r>
          </w:p>
        </w:tc>
        <w:tc>
          <w:tcPr>
            <w:tcW w:w="7800" w:type="dxa"/>
            <w:noWrap/>
          </w:tcPr>
          <w:p>
            <w:pPr>
              <w:jc w:val="start"/>
              <w:spacing w:before="0" w:after="0"/>
            </w:pPr>
            <w:r>
              <w:rPr/>
              <w:t xml:space="preserve">USD 2.078</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habitaciones con tres camas y pueden ser habitación doble con cama supletoria.</w:t>
            </w:r>
          </w:p>
          <w:p>
            <w:pPr>
              <w:jc w:val="start"/>
              <w:spacing w:before="0" w:after="0"/>
            </w:pPr>
            <w:r>
              <w:rPr/>
              <w:t xml:space="preserve">La tercera persona tendría un 10% de descuento en el precio por persona en doble.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York</w:t>
            </w:r>
          </w:p>
        </w:tc>
        <w:tc>
          <w:tcPr>
            <w:tcW w:w="7800" w:type="dxa"/>
            <w:noWrap/>
          </w:tcPr>
          <w:p>
            <w:pPr>
              <w:jc w:val="start"/>
              <w:spacing w:before="0" w:after="0"/>
            </w:pPr>
            <w:r>
              <w:rPr/>
              <w:t xml:space="preserve">Hampton by Hilton York Hotel (3*) o similar.</w:t>
            </w:r>
          </w:p>
        </w:tc>
      </w:tr>
      <w:tr>
        <w:trPr/>
        <w:tc>
          <w:tcPr>
            <w:tcW w:w="7800" w:type="dxa"/>
            <w:noWrap/>
          </w:tcPr>
          <w:p>
            <w:pPr>
              <w:jc w:val="start"/>
              <w:spacing w:before="0" w:after="0"/>
            </w:pPr>
            <w:r>
              <w:rPr/>
              <w:t xml:space="preserve">Liverpool</w:t>
            </w:r>
          </w:p>
        </w:tc>
        <w:tc>
          <w:tcPr>
            <w:tcW w:w="7800" w:type="dxa"/>
            <w:noWrap/>
          </w:tcPr>
          <w:p>
            <w:pPr>
              <w:jc w:val="start"/>
              <w:spacing w:before="0" w:after="0"/>
            </w:pPr>
            <w:r>
              <w:rPr/>
              <w:t xml:space="preserve">Marriott Liverpool City Centre (4*) / Mercure Atlantic Tower (4*) o similar.</w:t>
            </w:r>
          </w:p>
        </w:tc>
      </w:tr>
      <w:tr>
        <w:trPr/>
        <w:tc>
          <w:tcPr>
            <w:tcW w:w="7800" w:type="dxa"/>
            <w:noWrap/>
          </w:tcPr>
          <w:p>
            <w:pPr>
              <w:jc w:val="start"/>
              <w:spacing w:before="0" w:after="0"/>
            </w:pPr>
            <w:r>
              <w:rPr/>
              <w:t xml:space="preserve">Bath</w:t>
            </w:r>
          </w:p>
        </w:tc>
        <w:tc>
          <w:tcPr>
            <w:tcW w:w="7800" w:type="dxa"/>
            <w:noWrap/>
          </w:tcPr>
          <w:p>
            <w:pPr>
              <w:jc w:val="start"/>
              <w:spacing w:before="0" w:after="0"/>
            </w:pPr>
            <w:r>
              <w:rPr/>
              <w:t xml:space="preserve">Mercure Holland House (4*) en Bristol / Hampton by Hilton Bath (4*) o similar.</w:t>
            </w:r>
          </w:p>
        </w:tc>
      </w:tr>
      <w:tr>
        <w:trPr/>
        <w:tc>
          <w:tcPr>
            <w:tcW w:w="7800" w:type="dxa"/>
            <w:noWrap/>
          </w:tcPr>
          <w:p>
            <w:pPr>
              <w:jc w:val="start"/>
              <w:spacing w:before="0" w:after="0"/>
            </w:pPr>
            <w:r>
              <w:rPr/>
              <w:t xml:space="preserve">Londres (Opcional)</w:t>
            </w:r>
          </w:p>
        </w:tc>
        <w:tc>
          <w:tcPr>
            <w:tcW w:w="7800" w:type="dxa"/>
            <w:noWrap/>
          </w:tcPr>
          <w:p>
            <w:pPr>
              <w:jc w:val="start"/>
              <w:spacing w:before="0" w:after="0"/>
            </w:pPr>
            <w:r>
              <w:rPr/>
              <w:t xml:space="preserve">Copthorne Tara Kensington (4*) o similar.</w:t>
            </w:r>
          </w:p>
        </w:tc>
      </w:tr>
      <w:tr>
        <w:trPr/>
        <w:tc>
          <w:tcPr>
            <w:tcW w:w="7800" w:type="dxa"/>
            <w:noWrap/>
          </w:tcPr>
          <w:p>
            <w:pPr>
              <w:jc w:val="start"/>
              <w:spacing w:before="0" w:after="0"/>
            </w:pPr>
            <w:r>
              <w:rPr>
                <w:b w:val="1"/>
                <w:bCs w:val="1"/>
              </w:rPr>
              <w:t xml:space="preserve">HOTELES DE RECODIGA</w:t>
            </w:r>
          </w:p>
        </w:tc>
        <w:tc>
          <w:tcPr>
            <w:tcW w:w="7800" w:type="dxa"/>
            <w:noWrap/>
          </w:tcPr>
          <w:p>
            <w:pPr>
              <w:jc w:val="start"/>
              <w:spacing w:before="0" w:after="0"/>
            </w:pPr>
            <w:r>
              <w:rPr/>
              <w:t xml:space="preserve">Thistle Marble Arch (07:50hrs).</w:t>
            </w:r>
          </w:p>
        </w:tc>
      </w:tr>
      <w:tr>
        <w:trPr/>
        <w:tc>
          <w:tcPr>
            <w:tcW w:w="7800" w:type="dxa"/>
            <w:noWrap/>
          </w:tcPr>
          <w:p>
            <w:pPr>
              <w:jc w:val="start"/>
              <w:spacing w:before="0" w:after="0"/>
            </w:pPr>
            <w:r>
              <w:rPr/>
              <w:t xml:space="preserve">Meliá White House (08:10hrs).</w:t>
            </w:r>
          </w:p>
        </w:tc>
      </w:tr>
      <w:tr>
        <w:trPr/>
        <w:tc>
          <w:tcPr>
            <w:tcW w:w="7800" w:type="dxa"/>
            <w:noWrap/>
          </w:tcPr>
          <w:p>
            <w:pPr>
              <w:jc w:val="start"/>
              <w:spacing w:before="0" w:after="0"/>
            </w:pPr>
            <w:r>
              <w:rPr/>
              <w:t xml:space="preserve">Royal National (08:30hrs).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1 noche de alojamiento en media pensión.</w:t>
      </w:r>
    </w:p>
    <w:p>
      <w:pPr>
        <w:numPr>
          <w:ilvl w:val="1"/>
          <w:numId w:val="4"/>
        </w:numPr>
      </w:pPr>
      <w:r>
        <w:rPr/>
        <w:t xml:space="preserve">4 noches de alojamiento con desayuno.</w:t>
      </w:r>
    </w:p>
    <w:p>
      <w:pPr>
        <w:numPr>
          <w:ilvl w:val="1"/>
          <w:numId w:val="4"/>
        </w:numPr>
      </w:pPr>
      <w:r>
        <w:rPr/>
        <w:t xml:space="preserve">Tour panorámico de York, Liverpool, Chester y Bath.</w:t>
      </w:r>
    </w:p>
    <w:p>
      <w:pPr>
        <w:numPr>
          <w:ilvl w:val="1"/>
          <w:numId w:val="4"/>
        </w:numPr>
      </w:pPr>
      <w:r>
        <w:rPr/>
        <w:t xml:space="preserve">Paseo en barco por el Lago Windermere.</w:t>
      </w:r>
    </w:p>
    <w:p>
      <w:pPr>
        <w:numPr>
          <w:ilvl w:val="1"/>
          <w:numId w:val="4"/>
        </w:numPr>
      </w:pPr>
      <w:r>
        <w:rPr/>
        <w:t xml:space="preserve">Gran Hall del Castillo de Winchester.</w:t>
      </w:r>
    </w:p>
    <w:p>
      <w:pPr>
        <w:numPr>
          <w:ilvl w:val="1"/>
          <w:numId w:val="4"/>
        </w:numPr>
      </w:pPr>
      <w:r>
        <w:rPr/>
        <w:t xml:space="preserve">Entrada a Stonehenge.</w:t>
      </w:r>
    </w:p>
    <w:p>
      <w:pPr>
        <w:numPr>
          <w:ilvl w:val="1"/>
          <w:numId w:val="4"/>
        </w:numPr>
      </w:pPr>
      <w:r>
        <w:rPr/>
        <w:t xml:space="preserve">Parada para hacer fotos exteriores en la casa de Shakespeare.</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Traslados Aeropuerto - Hotel – Aeropuerto.</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D6DA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1ABE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FE6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6EFE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2025-05-09T14:43:34+00:00</dcterms:created>
  <dcterms:modified xsi:type="dcterms:W3CDTF">2025-05-09T14:43:34+00:00</dcterms:modified>
</cp:coreProperties>
</file>

<file path=docProps/custom.xml><?xml version="1.0" encoding="utf-8"?>
<Properties xmlns="http://schemas.openxmlformats.org/officeDocument/2006/custom-properties" xmlns:vt="http://schemas.openxmlformats.org/officeDocument/2006/docPropsVTypes"/>
</file>