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ECO EUROPA MÁGICA 17D                    </w:t>
      </w:r>
    </w:p>
    <w:p>
      <w:pPr/>
      <w:r>
        <w:rPr>
          <w:rFonts w:ascii="Arial" w:hAnsi="Arial" w:eastAsia="Arial" w:cs="Arial"/>
          <w:color w:val="light"/>
          <w:sz w:val="22"/>
          <w:szCs w:val="22"/>
          <w:b w:val="0"/>
          <w:bCs w:val="0"/>
        </w:rPr>
        <w:t xml:space="preserve">MTC - 18250</w:t>
      </w:r>
    </w:p>
    <w:p>
      <w:pPr/>
      <w:r>
        <w:rPr>
          <w:rFonts w:ascii="Arial" w:hAnsi="Arial" w:eastAsia="Arial" w:cs="Arial"/>
          <w:color w:val="light"/>
          <w:sz w:val="22"/>
          <w:szCs w:val="22"/>
          <w:b w:val="0"/>
          <w:bCs w:val="0"/>
        </w:rPr>
        <w:t xml:space="preserve">17 Días y 15 Noches</w:t>
      </w:r>
    </w:p>
    <w:p/>
    <w:p/>
    <w:p>
      <w:pPr>
        <w:jc w:val="center"/>
        <w:spacing w:before="450"/>
      </w:pPr>
      <w:r>
        <w:rPr>
          <w:sz w:val="40.5"/>
          <w:szCs w:val="40.5"/>
        </w:rPr>
        <w:t xml:space="preserve">Desde $1600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España, </w:t>
      </w:r>
      <w:r>
        <w:rPr/>
        <w:t xml:space="preserve">Francia, </w:t>
      </w:r>
      <w:r>
        <w:rPr/>
        <w:t xml:space="preserve">Austria, </w:t>
      </w:r>
      <w:r>
        <w:rPr/>
        <w:t xml:space="preserve">Italia,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Madrid, </w:t>
      </w:r>
      <w:r>
        <w:rPr/>
        <w:t xml:space="preserve">Burdeos, </w:t>
      </w:r>
      <w:r>
        <w:rPr/>
        <w:t xml:space="preserve">Paris, </w:t>
      </w:r>
      <w:r>
        <w:rPr/>
        <w:t xml:space="preserve">Mulhouse, </w:t>
      </w:r>
      <w:r>
        <w:rPr/>
        <w:t xml:space="preserve">Innsbruck, </w:t>
      </w:r>
      <w:r>
        <w:rPr/>
        <w:t xml:space="preserve">Venecia, </w:t>
      </w:r>
      <w:r>
        <w:rPr/>
        <w:t xml:space="preserve">Florencia, </w:t>
      </w:r>
      <w:r>
        <w:rPr/>
        <w:t xml:space="preserve">Roma, </w:t>
      </w:r>
      <w:r>
        <w:rPr/>
        <w:t xml:space="preserve">Costa Azul, </w:t>
      </w:r>
      <w:r>
        <w:rPr/>
        <w:t xml:space="preserve">Barcelona, </w:t>
      </w:r>
      <w:r>
        <w:rPr/>
        <w:t xml:space="preserve">Madrid,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(VIERNES) AMÉRICA – MADRID.</w:t>
      </w:r>
    </w:p>
    <w:p>
      <w:pPr/>
      <w:r>
        <w:rPr/>
        <w:t xml:space="preserve">Salida de su ciudad de origen con destino final Madrid. Noche a bordo. (Vuelo no incluido).</w:t>
      </w:r>
    </w:p>
    <w:p>
      <w:pPr/>
      <w:r>
        <w:rPr/>
        <w:t xml:space="preserve"> </w:t>
      </w:r>
    </w:p>
    <w:p>
      <w:pPr/>
      <w:r>
        <w:rPr>
          <w:b w:val="1"/>
          <w:bCs w:val="1"/>
        </w:rPr>
        <w:t xml:space="preserve">DÍA 02 (SÁBADO) MADRID.</w:t>
      </w:r>
    </w:p>
    <w:p>
      <w:pPr/>
      <w:r>
        <w:rPr/>
        <w:t xml:space="preserve">Llegada al aeropuerto de Madrid-Barajas y traslado al hotel. Tiempo libre. </w:t>
      </w:r>
      <w:r>
        <w:rPr>
          <w:b w:val="1"/>
          <w:bCs w:val="1"/>
        </w:rPr>
        <w:t xml:space="preserve">Alojamiento</w:t>
      </w:r>
      <w:r>
        <w:rPr/>
        <w:t xml:space="preserve">.</w:t>
      </w:r>
    </w:p>
    <w:p>
      <w:pPr/>
      <w:r>
        <w:rPr/>
        <w:t xml:space="preserve"> </w:t>
      </w:r>
    </w:p>
    <w:p>
      <w:pPr/>
      <w:r>
        <w:rPr>
          <w:b w:val="1"/>
          <w:bCs w:val="1"/>
        </w:rPr>
        <w:t xml:space="preserve">DÍA 03 (DOMINGO) MADRID.</w:t>
      </w:r>
    </w:p>
    <w:p>
      <w:pPr/>
      <w:r>
        <w:rPr>
          <w:b w:val="1"/>
          <w:bCs w:val="1"/>
        </w:rPr>
        <w:t xml:space="preserve">Desayuno.</w:t>
      </w:r>
      <w:r>
        <w:rPr/>
        <w:t xml:space="preserve"> Por la mañana visita de la ciudad recorriendo la Castellana, Gran Vía, Cibeles y Neptuno, Puerta de Alcalá, Las Cortes, la Puerta del Sol, Plaza Mayor y Plaza de Oriente, y el Madrid moderno. Tarde libre. Sugerimos hacer una excursión opcional a la vecina ciudad imperial de Toledo, pasear por sus calles y respirar su ambiente medieval, visitar su espléndida Catedral, y conocer la famosa pintura de El Greco. </w:t>
      </w:r>
      <w:r>
        <w:rPr>
          <w:b w:val="1"/>
          <w:bCs w:val="1"/>
        </w:rPr>
        <w:t xml:space="preserve">Alojamiento</w:t>
      </w:r>
      <w:r>
        <w:rPr/>
        <w:t xml:space="preserve">.</w:t>
      </w:r>
    </w:p>
    <w:p>
      <w:pPr/>
      <w:r>
        <w:rPr/>
        <w:t xml:space="preserve"> </w:t>
      </w:r>
    </w:p>
    <w:p>
      <w:pPr/>
      <w:r>
        <w:rPr>
          <w:b w:val="1"/>
          <w:bCs w:val="1"/>
        </w:rPr>
        <w:t xml:space="preserve">DÍA 04 (LUNES) MADRID – BURGOS – BURDEOS.</w:t>
      </w:r>
    </w:p>
    <w:p>
      <w:pPr/>
      <w:r>
        <w:rPr>
          <w:b w:val="1"/>
          <w:bCs w:val="1"/>
        </w:rPr>
        <w:t xml:space="preserve">Desayuno</w:t>
      </w:r>
      <w:r>
        <w:rPr/>
        <w:t xml:space="preserve"> y salida hacia Burgos. Parada en esta ciudad castellana para poder admirar su Catedral Gótica, declarada “Patrimonio de la Humanidad” por la Unesco. Posteriormente, continuación del viaje atravesando el País Vasco hacia la frontera francesa para llegar a Burdeos, capital de Aquitania. </w:t>
      </w:r>
      <w:r>
        <w:rPr>
          <w:b w:val="1"/>
          <w:bCs w:val="1"/>
        </w:rPr>
        <w:t xml:space="preserve">Alojamiento</w:t>
      </w:r>
      <w:r>
        <w:rPr/>
        <w:t xml:space="preserve">.</w:t>
      </w:r>
    </w:p>
    <w:p>
      <w:pPr/>
      <w:r>
        <w:rPr/>
        <w:t xml:space="preserve"> </w:t>
      </w:r>
    </w:p>
    <w:p>
      <w:pPr/>
      <w:r>
        <w:rPr>
          <w:b w:val="1"/>
          <w:bCs w:val="1"/>
        </w:rPr>
        <w:t xml:space="preserve">DÍA 05 (MARTES) BURDEOS – VALLE DE LOIRA – BLOIS – PARÍS.</w:t>
      </w:r>
    </w:p>
    <w:p>
      <w:pPr/>
      <w:r>
        <w:rPr>
          <w:b w:val="1"/>
          <w:bCs w:val="1"/>
        </w:rPr>
        <w:t xml:space="preserve">Desayuno</w:t>
      </w:r>
      <w:r>
        <w:rPr/>
        <w:t xml:space="preserve"> y salida cruzando el Valle del Loira, región conocida como el “Jardín de Francia”. Parada en Blois, donde se dispondrá de tiempo libre para visitar opcionalmente uno de los castillos más famosos de la región y continuación hacia París. Por la noche podrá realizar opcionalmente una visita de “París Iluminado” y un bonito crucero por el Sena. </w:t>
      </w:r>
      <w:r>
        <w:rPr>
          <w:b w:val="1"/>
          <w:bCs w:val="1"/>
        </w:rPr>
        <w:t xml:space="preserve">Alojamiento</w:t>
      </w:r>
      <w:r>
        <w:rPr/>
        <w:t xml:space="preserve">.</w:t>
      </w:r>
    </w:p>
    <w:p>
      <w:pPr/>
      <w:r>
        <w:rPr/>
        <w:t xml:space="preserve"> </w:t>
      </w:r>
    </w:p>
    <w:p>
      <w:pPr/>
      <w:r>
        <w:rPr>
          <w:b w:val="1"/>
          <w:bCs w:val="1"/>
        </w:rPr>
        <w:t xml:space="preserve">DÍA 06 (MIÉRCOLES) PARÍS.</w:t>
      </w:r>
    </w:p>
    <w:p>
      <w:pPr/>
      <w:r>
        <w:rPr>
          <w:b w:val="1"/>
          <w:bCs w:val="1"/>
        </w:rPr>
        <w:t xml:space="preserve">Desayuno</w:t>
      </w:r>
      <w:r>
        <w:rPr/>
        <w:t xml:space="preserve">. Por la mañana, visita panorámica de la “Ciudad de la Luz” donde recorreremos sus lugares más emblemáticos como la Plaza de La Concordia; La Bastilla, Barrio Latino, Campos Elíseos, Los Inválidos que alberga la tumba de Napoleón, etc. Realizaremos una parada fotográfica en la Torre Eiffel. Tarde libre. Por la noche podremos asistir opcionalmente a un espectáculo en un cabaret parisino y degustar una copa de champagne. </w:t>
      </w:r>
      <w:r>
        <w:rPr>
          <w:b w:val="1"/>
          <w:bCs w:val="1"/>
        </w:rPr>
        <w:t xml:space="preserve">Alojamiento</w:t>
      </w:r>
      <w:r>
        <w:rPr/>
        <w:t xml:space="preserve">.</w:t>
      </w:r>
    </w:p>
    <w:p>
      <w:pPr/>
      <w:r>
        <w:rPr/>
        <w:t xml:space="preserve"> </w:t>
      </w:r>
    </w:p>
    <w:p>
      <w:pPr/>
      <w:r>
        <w:rPr>
          <w:b w:val="1"/>
          <w:bCs w:val="1"/>
        </w:rPr>
        <w:t xml:space="preserve">DÍA 07 (JUEVES) PARÍS.</w:t>
      </w:r>
    </w:p>
    <w:p>
      <w:pPr/>
      <w:r>
        <w:rPr>
          <w:b w:val="1"/>
          <w:bCs w:val="1"/>
        </w:rPr>
        <w:t xml:space="preserve">Desayuno</w:t>
      </w:r>
      <w:r>
        <w:rPr/>
        <w:t xml:space="preserve">. Día libre durante el que podrá realizar una excursión opcional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opcional del carismático barrio de Montmartre y el barrio Latino. </w:t>
      </w:r>
      <w:r>
        <w:rPr>
          <w:b w:val="1"/>
          <w:bCs w:val="1"/>
        </w:rPr>
        <w:t xml:space="preserve">Alojamiento</w:t>
      </w:r>
      <w:r>
        <w:rPr/>
        <w:t xml:space="preserve">.</w:t>
      </w:r>
    </w:p>
    <w:p>
      <w:pPr/>
      <w:r>
        <w:rPr/>
        <w:t xml:space="preserve"> </w:t>
      </w:r>
    </w:p>
    <w:p>
      <w:pPr/>
      <w:r>
        <w:rPr>
          <w:b w:val="1"/>
          <w:bCs w:val="1"/>
        </w:rPr>
        <w:t xml:space="preserve">DÍA 08 (VIERNES) PARÍS – MULHOUSE.</w:t>
      </w:r>
    </w:p>
    <w:p>
      <w:pPr/>
      <w:r>
        <w:rPr>
          <w:b w:val="1"/>
          <w:bCs w:val="1"/>
        </w:rPr>
        <w:t xml:space="preserve">Desayuno</w:t>
      </w:r>
      <w:r>
        <w:rPr/>
        <w:t xml:space="preserve">. Salida de París con dirección a la maravillosa e histórica región de La Borgoña, mundialmente conocida por sus vinos tintos y la mostaza de su capital, Dijon. Al final de la tarde llegaremos a Mulhouse, cruce de caminos entre Francia, Alemania y Suiza en la famosa región de la Alsacia. </w:t>
      </w:r>
      <w:r>
        <w:rPr>
          <w:b w:val="1"/>
          <w:bCs w:val="1"/>
        </w:rPr>
        <w:t xml:space="preserve">Alojamiento</w:t>
      </w:r>
      <w:r>
        <w:rPr/>
        <w:t xml:space="preserve">.</w:t>
      </w:r>
    </w:p>
    <w:p>
      <w:pPr/>
      <w:r>
        <w:rPr/>
        <w:t xml:space="preserve"> </w:t>
      </w:r>
    </w:p>
    <w:p>
      <w:pPr/>
      <w:r>
        <w:rPr>
          <w:b w:val="1"/>
          <w:bCs w:val="1"/>
        </w:rPr>
        <w:t xml:space="preserve">DÍA 09 (SÁBADO) MULHOUSE – ZÚRICH – INNSBRUCK.</w:t>
      </w:r>
    </w:p>
    <w:p>
      <w:pPr/>
      <w:r>
        <w:rPr>
          <w:b w:val="1"/>
          <w:bCs w:val="1"/>
        </w:rPr>
        <w:t xml:space="preserve">Desayuno</w:t>
      </w:r>
      <w:r>
        <w:rPr/>
        <w:t xml:space="preserve">. Iniciaremos viaje cruzando la frontera con Suiza hasta llegar a Zurich donde haremos un breve recorrido por la ciudad. Tiempo libre. Posibilidad de realizar una excursión opcional a Lucerna, bella ciudad situada a orillas del lago de los cuatro Cantones. Por la tarde, continuación del viaje para llegar a Innsbruck, capital del Tirol, maravillosa ciudad enclavada entre los Alpes, con impresionantes vistas de las montañas y dónde destacamos su barrio antiguo con el famoso “Tejadito de Oro”. </w:t>
      </w:r>
      <w:r>
        <w:rPr>
          <w:b w:val="1"/>
          <w:bCs w:val="1"/>
        </w:rPr>
        <w:t xml:space="preserve">Alojamiento</w:t>
      </w:r>
      <w:r>
        <w:rPr/>
        <w:t xml:space="preserve">.</w:t>
      </w:r>
    </w:p>
    <w:p>
      <w:pPr/>
      <w:r>
        <w:rPr/>
        <w:t xml:space="preserve"> </w:t>
      </w:r>
    </w:p>
    <w:p>
      <w:pPr/>
      <w:r>
        <w:rPr>
          <w:b w:val="1"/>
          <w:bCs w:val="1"/>
        </w:rPr>
        <w:t xml:space="preserve">DÍA 10 (DOMINGO) INNSBRUCK – VERONA – VENECIA.</w:t>
      </w:r>
    </w:p>
    <w:p>
      <w:pPr/>
      <w:r>
        <w:rPr>
          <w:b w:val="1"/>
          <w:bCs w:val="1"/>
        </w:rPr>
        <w:t xml:space="preserve">Desayuno</w:t>
      </w:r>
      <w:r>
        <w:rPr/>
        <w:t xml:space="preserve"> y salida hacia Verona, donde tendremos tiempo libre para disfrutar de esta sorprendente ciudad medieval mundialmente famosa por la historia de amor entre Romeo y Julieta. Proseguiremos nuestro viaje para llegar hasta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opcional en góndola. </w:t>
      </w:r>
      <w:r>
        <w:rPr>
          <w:b w:val="1"/>
          <w:bCs w:val="1"/>
        </w:rPr>
        <w:t xml:space="preserve">Alojamiento</w:t>
      </w:r>
      <w:r>
        <w:rPr/>
        <w:t xml:space="preserve">.</w:t>
      </w:r>
    </w:p>
    <w:p>
      <w:pPr/>
      <w:r>
        <w:rPr/>
        <w:t xml:space="preserve"> </w:t>
      </w:r>
    </w:p>
    <w:p>
      <w:pPr/>
      <w:r>
        <w:rPr>
          <w:b w:val="1"/>
          <w:bCs w:val="1"/>
        </w:rPr>
        <w:t xml:space="preserve">DÍA 11 (LUNES) VENECIA – FLORENCIA.</w:t>
      </w:r>
    </w:p>
    <w:p>
      <w:pPr/>
      <w:r>
        <w:rPr>
          <w:b w:val="1"/>
          <w:bCs w:val="1"/>
        </w:rPr>
        <w:t xml:space="preserve">Desayuno</w:t>
      </w:r>
      <w:r>
        <w:rPr/>
        <w:t xml:space="preserve">. Continuación de nuestro itinerario para llegar 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 como la de la Santa Cruz, Signoria, República, el famoso Puente Viejo y la Catedral de Santa María de las Flores con su baptisterio y sus importantes puertas del Paraíso. </w:t>
      </w:r>
      <w:r>
        <w:rPr>
          <w:b w:val="1"/>
          <w:bCs w:val="1"/>
        </w:rPr>
        <w:t xml:space="preserve">Alojamiento</w:t>
      </w:r>
      <w:r>
        <w:rPr/>
        <w:t xml:space="preserve">.</w:t>
      </w:r>
    </w:p>
    <w:p>
      <w:pPr/>
      <w:r>
        <w:rPr/>
        <w:t xml:space="preserve"> </w:t>
      </w:r>
    </w:p>
    <w:p>
      <w:pPr/>
      <w:r>
        <w:rPr>
          <w:b w:val="1"/>
          <w:bCs w:val="1"/>
        </w:rPr>
        <w:t xml:space="preserve">DÍA 12 (MARTES) FLORENCIA – ASÍS – ROMA.</w:t>
      </w:r>
    </w:p>
    <w:p>
      <w:pPr/>
      <w:r>
        <w:rPr>
          <w:b w:val="1"/>
          <w:bCs w:val="1"/>
        </w:rPr>
        <w:t xml:space="preserve">Desayuno</w:t>
      </w:r>
      <w:r>
        <w:rPr/>
        <w:t xml:space="preserve">. Continuación de nuestro viaje efectuando breve parada en Asís para visitar la Basílica de San Francisco. Llegada a Roma. Posibilidad de realizar una visita opcional de la “Roma Barroca” donde podrá descubrir las fuentes y plazas más emblemáticas de la ciudad. </w:t>
      </w:r>
      <w:r>
        <w:rPr>
          <w:b w:val="1"/>
          <w:bCs w:val="1"/>
        </w:rPr>
        <w:t xml:space="preserve">Alojamiento</w:t>
      </w:r>
      <w:r>
        <w:rPr/>
        <w:t xml:space="preserve">.</w:t>
      </w:r>
    </w:p>
    <w:p>
      <w:pPr/>
      <w:r>
        <w:rPr/>
        <w:t xml:space="preserve"> </w:t>
      </w:r>
    </w:p>
    <w:p>
      <w:pPr/>
      <w:r>
        <w:rPr>
          <w:b w:val="1"/>
          <w:bCs w:val="1"/>
        </w:rPr>
        <w:t xml:space="preserve">DÍA 13 (MIÉRCOLES) ROMA.</w:t>
      </w:r>
    </w:p>
    <w:p>
      <w:pPr/>
      <w:r>
        <w:rPr>
          <w:b w:val="1"/>
          <w:bCs w:val="1"/>
        </w:rPr>
        <w:t xml:space="preserve">Desayuno y alojamiento</w:t>
      </w:r>
      <w:r>
        <w:rPr/>
        <w:t xml:space="preserve">.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Durante el recorrido panorámico veremos la Plaza Venecia, Santa María la Mayor, San Juan Letrán, Coliseo, Foros Imperiales, Circo Máximo, Termas de Caracalla entre otros. Finalizaremos la visita en la Plaza de San Pedro donde asistiremos, siempre que sea posible, a la Audiencia Papal. Tiempo libre y a continuación, tendrá la posibilidad de visitar opcionalmente los Museos Vaticanos, Capilla Sixtina y Basílica de San Pedro incluyendo la tumba del Papa Juan Pablo II. Al término de nuestra visita sugerimos disfrutar de un buen almuerzo en un restaurante típico italiano.</w:t>
      </w:r>
    </w:p>
    <w:p>
      <w:pPr/>
      <w:r>
        <w:rPr/>
        <w:t xml:space="preserve"> </w:t>
      </w:r>
    </w:p>
    <w:p>
      <w:pPr/>
      <w:r>
        <w:rPr>
          <w:b w:val="1"/>
          <w:bCs w:val="1"/>
        </w:rPr>
        <w:t xml:space="preserve">DÍA 14 (JUEVES) ROMA – PISA – COSTA AZUL.</w:t>
      </w:r>
    </w:p>
    <w:p>
      <w:pPr/>
      <w:r>
        <w:rPr>
          <w:b w:val="1"/>
          <w:bCs w:val="1"/>
        </w:rPr>
        <w:t xml:space="preserve">Desayuno</w:t>
      </w:r>
      <w:r>
        <w:rPr/>
        <w:t xml:space="preserve"> y salida hacia Pisa. Parada en la Plaza de los Milagros para contemplar el bello conjunto monumental que forman la Catedral, Baptisterio y la famosa Torre Inclinada. Continuación a Niza, capital de la Costa Azul. Alojamiento. Sugerimos disfrutar el ambiente de esta cosmopolita ciudad, o participar en una excursión opcional a Mónaco, Montecarlo y su famoso casino. </w:t>
      </w:r>
      <w:r>
        <w:rPr>
          <w:b w:val="1"/>
          <w:bCs w:val="1"/>
        </w:rPr>
        <w:t xml:space="preserve">Alojamiento</w:t>
      </w:r>
      <w:r>
        <w:rPr/>
        <w:t xml:space="preserve">.</w:t>
      </w:r>
    </w:p>
    <w:p>
      <w:pPr/>
      <w:r>
        <w:rPr/>
        <w:t xml:space="preserve"> </w:t>
      </w:r>
    </w:p>
    <w:p>
      <w:pPr/>
      <w:r>
        <w:rPr>
          <w:b w:val="1"/>
          <w:bCs w:val="1"/>
        </w:rPr>
        <w:t xml:space="preserve">DÍA 15 (VIERNES) COSTA AZUL – BARCELONA.</w:t>
      </w:r>
    </w:p>
    <w:p>
      <w:pPr/>
      <w:r>
        <w:rPr>
          <w:b w:val="1"/>
          <w:bCs w:val="1"/>
        </w:rPr>
        <w:t xml:space="preserve">Desayuno</w:t>
      </w:r>
      <w:r>
        <w:rPr/>
        <w:t xml:space="preserve"> y breve recorrido panorámico de salida hacia la frontera española a través de la Provenza y sus magníficas autopistas. Llegada a Barcelona. Sugerimos disfrutar las múltiples posibilidades nocturnas que la ciudad ofrece. </w:t>
      </w:r>
      <w:r>
        <w:rPr>
          <w:b w:val="1"/>
          <w:bCs w:val="1"/>
        </w:rPr>
        <w:t xml:space="preserve">Alojamiento</w:t>
      </w:r>
      <w:r>
        <w:rPr/>
        <w:t xml:space="preserve">.</w:t>
      </w:r>
    </w:p>
    <w:p>
      <w:pPr/>
      <w:r>
        <w:rPr/>
        <w:t xml:space="preserve"> </w:t>
      </w:r>
    </w:p>
    <w:p>
      <w:pPr/>
      <w:r>
        <w:rPr>
          <w:b w:val="1"/>
          <w:bCs w:val="1"/>
        </w:rPr>
        <w:t xml:space="preserve">DÍA 16 (SÁBADO) BARCELONA – ZARAGOZA – MADRID.</w:t>
      </w:r>
    </w:p>
    <w:p>
      <w:pPr/>
      <w:r>
        <w:rPr>
          <w:b w:val="1"/>
          <w:bCs w:val="1"/>
        </w:rPr>
        <w:t xml:space="preserve">Desayuno</w:t>
      </w:r>
      <w:r>
        <w:rPr/>
        <w:t xml:space="preserve">. Por la mañana, visita panorámica de esta maravillosa ciudad que ha sido escenario de diversos eventos mundiales que han contribuido a configurar la ciudad y darle la proyección internacional de la que hoy disfruta. Recorreremos sus lugares más típicos y pintorescos. Haremos una parada fotográfica en la Sagrada Familia, obra maestra de Gaudí. Subiremos también a la Montaña de Montjuic, sede protagonista de los Juegos Olímpicos de Verano de 1992. Al finalizar la misma, salida hacia Zaragoza. Tiempo libre para poder visitar la Basílica de la Virgen del Pilar, Patrona de la Hispanidad y recorrer su casco antiguo. Por la tarde, continuación a Madrid. </w:t>
      </w:r>
      <w:r>
        <w:rPr>
          <w:b w:val="1"/>
          <w:bCs w:val="1"/>
        </w:rPr>
        <w:t xml:space="preserve">Alojamiento</w:t>
      </w:r>
      <w:r>
        <w:rPr/>
        <w:t xml:space="preserve">.</w:t>
      </w:r>
    </w:p>
    <w:p>
      <w:pPr/>
      <w:r>
        <w:rPr/>
        <w:t xml:space="preserve"> </w:t>
      </w:r>
    </w:p>
    <w:p>
      <w:pPr/>
      <w:r>
        <w:rPr>
          <w:b w:val="1"/>
          <w:bCs w:val="1"/>
        </w:rPr>
        <w:t xml:space="preserve">DÍA 17 (DOMINGO) MADRID.</w:t>
      </w:r>
    </w:p>
    <w:p>
      <w:pPr/>
      <w:r>
        <w:rPr>
          <w:b w:val="1"/>
          <w:bCs w:val="1"/>
        </w:rPr>
        <w:t xml:space="preserve">Desayuno</w:t>
      </w:r>
      <w:r>
        <w:rPr/>
        <w:t xml:space="preserve">, traslado al aeropuerto y FIN DEL VIAJE.</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r>
              <w:rPr>
                <w:color w:val="ffffff"/>
                <w:sz w:val="21"/>
                <w:szCs w:val="21"/>
                <w:b w:val="1"/>
                <w:bCs w:val="1"/>
                <w:shd w:val="clear" w:fill="152441"/>
              </w:rPr>
              <w:t xml:space="preserve">FECHAS DE SALIDA DESDE AMÉRICA.</w:t>
            </w:r>
          </w:p>
        </w:tc>
      </w:tr>
      <w:tr>
        <w:trPr/>
        <w:tc>
          <w:tcPr>
            <w:tcW w:w="7800" w:type="dxa"/>
            <w:noWrap/>
          </w:tcPr>
          <w:p>
            <w:pPr/>
            <w:r>
              <w:rPr/>
              <w:t xml:space="preserve">Mayo</w:t>
            </w:r>
          </w:p>
        </w:tc>
        <w:tc>
          <w:tcPr>
            <w:tcW w:w="7800" w:type="dxa"/>
            <w:noWrap/>
          </w:tcPr>
          <w:p>
            <w:pPr/>
            <w:r>
              <w:rPr/>
              <w:t xml:space="preserve">2024</w:t>
            </w:r>
          </w:p>
        </w:tc>
        <w:tc>
          <w:tcPr>
            <w:tcW w:w="7800" w:type="dxa"/>
            <w:noWrap/>
          </w:tcPr>
          <w:p>
            <w:pPr/>
            <w:r>
              <w:rPr/>
              <w:t xml:space="preserve">03</w:t>
            </w:r>
          </w:p>
        </w:tc>
        <w:tc>
          <w:tcPr>
            <w:tcW w:w="7800" w:type="dxa"/>
            <w:noWrap/>
          </w:tcPr>
          <w:p>
            <w:pPr/>
            <w:r>
              <w:rPr/>
              <w:t xml:space="preserve">10</w:t>
            </w:r>
          </w:p>
        </w:tc>
        <w:tc>
          <w:tcPr>
            <w:tcW w:w="7800" w:type="dxa"/>
            <w:noWrap/>
          </w:tcPr>
          <w:p>
            <w:pPr/>
            <w:r>
              <w:rPr/>
              <w:t xml:space="preserve">17</w:t>
            </w:r>
          </w:p>
        </w:tc>
        <w:tc>
          <w:tcPr>
            <w:tcW w:w="7800" w:type="dxa"/>
            <w:noWrap/>
          </w:tcPr>
          <w:p>
            <w:pPr/>
            <w:r>
              <w:rPr/>
              <w:t xml:space="preserve">24</w:t>
            </w:r>
          </w:p>
        </w:tc>
        <w:tc>
          <w:tcPr>
            <w:tcW w:w="7800" w:type="dxa"/>
            <w:noWrap/>
          </w:tcPr>
          <w:p>
            <w:pPr/>
            <w:r>
              <w:rPr/>
              <w:t xml:space="preserve">31</w:t>
            </w:r>
          </w:p>
        </w:tc>
      </w:tr>
      <w:tr>
        <w:trPr/>
        <w:tc>
          <w:tcPr>
            <w:tcW w:w="7800" w:type="dxa"/>
            <w:noWrap/>
          </w:tcPr>
          <w:p>
            <w:pPr/>
            <w:r>
              <w:rPr/>
              <w:t xml:space="preserve">Junio</w:t>
            </w:r>
          </w:p>
        </w:tc>
        <w:tc>
          <w:tcPr>
            <w:tcW w:w="7800" w:type="dxa"/>
            <w:noWrap/>
          </w:tcPr>
          <w:p>
            <w:pPr/>
            <w:r>
              <w:rPr/>
              <w:t xml:space="preserve">2024</w:t>
            </w:r>
          </w:p>
        </w:tc>
        <w:tc>
          <w:tcPr>
            <w:tcW w:w="7800" w:type="dxa"/>
            <w:noWrap/>
          </w:tcPr>
          <w:p>
            <w:pPr/>
            <w:r>
              <w:rPr/>
              <w:t xml:space="preserve">07</w:t>
            </w:r>
          </w:p>
        </w:tc>
        <w:tc>
          <w:tcPr>
            <w:tcW w:w="7800" w:type="dxa"/>
            <w:noWrap/>
          </w:tcPr>
          <w:p>
            <w:pPr/>
            <w:r>
              <w:rPr/>
              <w:t xml:space="preserve">14</w:t>
            </w:r>
          </w:p>
        </w:tc>
        <w:tc>
          <w:tcPr>
            <w:tcW w:w="7800" w:type="dxa"/>
            <w:noWrap/>
          </w:tcPr>
          <w:p>
            <w:pPr/>
            <w:r>
              <w:rPr/>
              <w:t xml:space="preserve">21</w:t>
            </w:r>
          </w:p>
        </w:tc>
        <w:tc>
          <w:tcPr>
            <w:tcW w:w="7800" w:type="dxa"/>
            <w:noWrap/>
          </w:tcPr>
          <w:p>
            <w:pPr/>
            <w:r>
              <w:rPr/>
              <w:t xml:space="preserve">28</w:t>
            </w:r>
          </w:p>
        </w:tc>
        <w:tc>
          <w:tcPr>
            <w:tcW w:w="7800" w:type="dxa"/>
            <w:noWrap/>
          </w:tcPr>
          <w:p>
            <w:pPr/>
            <w:r>
              <w:rPr/>
              <w:t xml:space="preserve">-</w:t>
            </w:r>
          </w:p>
        </w:tc>
      </w:tr>
      <w:tr>
        <w:trPr/>
        <w:tc>
          <w:tcPr>
            <w:tcW w:w="7800" w:type="dxa"/>
            <w:noWrap/>
          </w:tcPr>
          <w:p>
            <w:pPr/>
            <w:r>
              <w:rPr/>
              <w:t xml:space="preserve">Julio</w:t>
            </w:r>
          </w:p>
        </w:tc>
        <w:tc>
          <w:tcPr>
            <w:tcW w:w="7800" w:type="dxa"/>
            <w:noWrap/>
          </w:tcPr>
          <w:p>
            <w:pPr/>
            <w:r>
              <w:rPr/>
              <w:t xml:space="preserve">2024</w:t>
            </w:r>
          </w:p>
        </w:tc>
        <w:tc>
          <w:tcPr>
            <w:tcW w:w="7800" w:type="dxa"/>
            <w:noWrap/>
          </w:tcPr>
          <w:p>
            <w:pPr/>
            <w:r>
              <w:rPr/>
              <w:t xml:space="preserve">05</w:t>
            </w:r>
          </w:p>
        </w:tc>
        <w:tc>
          <w:tcPr>
            <w:tcW w:w="7800" w:type="dxa"/>
            <w:noWrap/>
          </w:tcPr>
          <w:p>
            <w:pPr/>
            <w:r>
              <w:rPr/>
              <w:t xml:space="preserve">12</w:t>
            </w:r>
          </w:p>
        </w:tc>
        <w:tc>
          <w:tcPr>
            <w:tcW w:w="7800" w:type="dxa"/>
            <w:noWrap/>
          </w:tcPr>
          <w:p>
            <w:pPr/>
            <w:r>
              <w:rPr/>
              <w:t xml:space="preserve">19</w:t>
            </w:r>
          </w:p>
        </w:tc>
        <w:tc>
          <w:tcPr>
            <w:tcW w:w="7800" w:type="dxa"/>
            <w:noWrap/>
          </w:tcPr>
          <w:p>
            <w:pPr/>
            <w:r>
              <w:rPr/>
              <w:t xml:space="preserve">26</w:t>
            </w:r>
          </w:p>
        </w:tc>
        <w:tc>
          <w:tcPr>
            <w:tcW w:w="7800" w:type="dxa"/>
            <w:noWrap/>
          </w:tcPr>
          <w:p>
            <w:pPr/>
            <w:r>
              <w:rPr/>
              <w:t xml:space="preserve">-</w:t>
            </w:r>
          </w:p>
        </w:tc>
      </w:tr>
      <w:tr>
        <w:trPr/>
        <w:tc>
          <w:tcPr>
            <w:tcW w:w="7800" w:type="dxa"/>
            <w:noWrap/>
          </w:tcPr>
          <w:p>
            <w:pPr/>
            <w:r>
              <w:rPr/>
              <w:t xml:space="preserve">Agosto</w:t>
            </w:r>
          </w:p>
        </w:tc>
        <w:tc>
          <w:tcPr>
            <w:tcW w:w="7800" w:type="dxa"/>
            <w:noWrap/>
          </w:tcPr>
          <w:p>
            <w:pPr/>
            <w:r>
              <w:rPr/>
              <w:t xml:space="preserve">2024</w:t>
            </w:r>
          </w:p>
        </w:tc>
        <w:tc>
          <w:tcPr>
            <w:tcW w:w="7800" w:type="dxa"/>
            <w:noWrap/>
          </w:tcPr>
          <w:p>
            <w:pPr/>
            <w:r>
              <w:rPr/>
              <w:t xml:space="preserve">02</w:t>
            </w:r>
          </w:p>
        </w:tc>
        <w:tc>
          <w:tcPr>
            <w:tcW w:w="7800" w:type="dxa"/>
            <w:noWrap/>
          </w:tcPr>
          <w:p>
            <w:pPr/>
            <w:r>
              <w:rPr/>
              <w:t xml:space="preserve">09</w:t>
            </w:r>
          </w:p>
        </w:tc>
        <w:tc>
          <w:tcPr>
            <w:tcW w:w="7800" w:type="dxa"/>
            <w:noWrap/>
          </w:tcPr>
          <w:p>
            <w:pPr/>
            <w:r>
              <w:rPr/>
              <w:t xml:space="preserve">16</w:t>
            </w:r>
          </w:p>
        </w:tc>
        <w:tc>
          <w:tcPr>
            <w:tcW w:w="7800" w:type="dxa"/>
            <w:noWrap/>
          </w:tcPr>
          <w:p>
            <w:pPr/>
            <w:r>
              <w:rPr/>
              <w:t xml:space="preserve">23</w:t>
            </w:r>
          </w:p>
        </w:tc>
        <w:tc>
          <w:tcPr>
            <w:tcW w:w="7800" w:type="dxa"/>
            <w:noWrap/>
          </w:tcPr>
          <w:p>
            <w:pPr/>
            <w:r>
              <w:rPr/>
              <w:t xml:space="preserve">30</w:t>
            </w:r>
          </w:p>
        </w:tc>
      </w:tr>
      <w:tr>
        <w:trPr/>
        <w:tc>
          <w:tcPr>
            <w:tcW w:w="7800" w:type="dxa"/>
            <w:noWrap/>
          </w:tcPr>
          <w:p>
            <w:pPr/>
            <w:r>
              <w:rPr/>
              <w:t xml:space="preserve">Septiembre</w:t>
            </w:r>
          </w:p>
        </w:tc>
        <w:tc>
          <w:tcPr>
            <w:tcW w:w="7800" w:type="dxa"/>
            <w:noWrap/>
          </w:tcPr>
          <w:p>
            <w:pPr/>
            <w:r>
              <w:rPr/>
              <w:t xml:space="preserve">2024</w:t>
            </w:r>
          </w:p>
        </w:tc>
        <w:tc>
          <w:tcPr>
            <w:tcW w:w="7800" w:type="dxa"/>
            <w:noWrap/>
          </w:tcPr>
          <w:p>
            <w:pPr/>
            <w:r>
              <w:rPr/>
              <w:t xml:space="preserve">06</w:t>
            </w:r>
          </w:p>
        </w:tc>
        <w:tc>
          <w:tcPr>
            <w:tcW w:w="7800" w:type="dxa"/>
            <w:noWrap/>
          </w:tcPr>
          <w:p>
            <w:pPr/>
            <w:r>
              <w:rPr/>
              <w:t xml:space="preserve">13</w:t>
            </w:r>
          </w:p>
        </w:tc>
        <w:tc>
          <w:tcPr>
            <w:tcW w:w="7800" w:type="dxa"/>
            <w:noWrap/>
          </w:tcPr>
          <w:p>
            <w:pPr/>
            <w:r>
              <w:rPr/>
              <w:t xml:space="preserve">20</w:t>
            </w:r>
          </w:p>
        </w:tc>
        <w:tc>
          <w:tcPr>
            <w:tcW w:w="7800" w:type="dxa"/>
            <w:noWrap/>
          </w:tcPr>
          <w:p>
            <w:pPr/>
            <w:r>
              <w:rPr/>
              <w:t xml:space="preserve">27</w:t>
            </w:r>
          </w:p>
        </w:tc>
        <w:tc>
          <w:tcPr>
            <w:tcW w:w="7800" w:type="dxa"/>
            <w:noWrap/>
          </w:tcPr>
          <w:p>
            <w:pPr/>
            <w:r>
              <w:rPr/>
              <w:t xml:space="preserve">-</w:t>
            </w:r>
          </w:p>
        </w:tc>
      </w:tr>
      <w:tr>
        <w:trPr/>
        <w:tc>
          <w:tcPr>
            <w:tcW w:w="7800" w:type="dxa"/>
            <w:noWrap/>
          </w:tcPr>
          <w:p>
            <w:pPr/>
            <w:r>
              <w:rPr/>
              <w:t xml:space="preserve">Octubre</w:t>
            </w:r>
          </w:p>
        </w:tc>
        <w:tc>
          <w:tcPr>
            <w:tcW w:w="7800" w:type="dxa"/>
            <w:noWrap/>
          </w:tcPr>
          <w:p>
            <w:pPr/>
            <w:r>
              <w:rPr/>
              <w:t xml:space="preserve">2024</w:t>
            </w:r>
          </w:p>
        </w:tc>
        <w:tc>
          <w:tcPr>
            <w:tcW w:w="7800" w:type="dxa"/>
            <w:noWrap/>
          </w:tcPr>
          <w:p>
            <w:pPr/>
            <w:r>
              <w:rPr/>
              <w:t xml:space="preserve">04</w:t>
            </w:r>
          </w:p>
        </w:tc>
        <w:tc>
          <w:tcPr>
            <w:tcW w:w="7800" w:type="dxa"/>
            <w:noWrap/>
          </w:tcPr>
          <w:p>
            <w:pPr/>
            <w:r>
              <w:rPr/>
              <w:t xml:space="preserve">11</w:t>
            </w:r>
          </w:p>
        </w:tc>
        <w:tc>
          <w:tcPr>
            <w:tcW w:w="7800" w:type="dxa"/>
            <w:noWrap/>
          </w:tcPr>
          <w:p>
            <w:pPr/>
            <w:r>
              <w:rPr/>
              <w:t xml:space="preserve">18</w:t>
            </w:r>
          </w:p>
        </w:tc>
        <w:tc>
          <w:tcPr>
            <w:tcW w:w="7800" w:type="dxa"/>
            <w:noWrap/>
          </w:tcPr>
          <w:p>
            <w:pPr/>
            <w:r>
              <w:rPr/>
              <w:t xml:space="preserve">25</w:t>
            </w:r>
          </w:p>
        </w:tc>
        <w:tc>
          <w:tcPr>
            <w:tcW w:w="7800" w:type="dxa"/>
            <w:noWrap/>
          </w:tcPr>
          <w:p>
            <w:pPr/>
            <w:r>
              <w:rPr/>
              <w:t xml:space="preserve">-</w:t>
            </w:r>
          </w:p>
        </w:tc>
      </w:tr>
      <w:tr>
        <w:trPr/>
        <w:tc>
          <w:tcPr>
            <w:tcW w:w="7800" w:type="dxa"/>
            <w:noWrap/>
          </w:tcPr>
          <w:p>
            <w:pPr/>
            <w:r>
              <w:rPr/>
              <w:t xml:space="preserve">Noviembre</w:t>
            </w:r>
          </w:p>
        </w:tc>
        <w:tc>
          <w:tcPr>
            <w:tcW w:w="7800" w:type="dxa"/>
            <w:noWrap/>
          </w:tcPr>
          <w:p>
            <w:pPr/>
            <w:r>
              <w:rPr/>
              <w:t xml:space="preserve">2024</w:t>
            </w:r>
          </w:p>
        </w:tc>
        <w:tc>
          <w:tcPr>
            <w:tcW w:w="7800" w:type="dxa"/>
            <w:noWrap/>
          </w:tcPr>
          <w:p>
            <w:pPr/>
            <w:r>
              <w:rPr/>
              <w:t xml:space="preserve">01</w:t>
            </w:r>
          </w:p>
        </w:tc>
        <w:tc>
          <w:tcPr>
            <w:tcW w:w="7800" w:type="dxa"/>
            <w:noWrap/>
          </w:tcPr>
          <w:p>
            <w:pPr/>
            <w:r>
              <w:rPr/>
              <w:t xml:space="preserve">08</w:t>
            </w:r>
          </w:p>
        </w:tc>
        <w:tc>
          <w:tcPr>
            <w:tcW w:w="7800" w:type="dxa"/>
            <w:noWrap/>
          </w:tcPr>
          <w:p>
            <w:pPr/>
            <w:r>
              <w:rPr/>
              <w:t xml:space="preserve">15</w:t>
            </w:r>
          </w:p>
        </w:tc>
        <w:tc>
          <w:tcPr>
            <w:tcW w:w="7800" w:type="dxa"/>
            <w:noWrap/>
          </w:tcPr>
          <w:p>
            <w:pPr/>
            <w:r>
              <w:rPr/>
              <w:t xml:space="preserve">22</w:t>
            </w:r>
          </w:p>
        </w:tc>
        <w:tc>
          <w:tcPr>
            <w:tcW w:w="7800" w:type="dxa"/>
            <w:noWrap/>
          </w:tcPr>
          <w:p>
            <w:pPr/>
            <w:r>
              <w:rPr/>
              <w:t xml:space="preserve">29</w:t>
            </w:r>
          </w:p>
        </w:tc>
      </w:tr>
      <w:tr>
        <w:trPr/>
        <w:tc>
          <w:tcPr>
            <w:tcW w:w="7800" w:type="dxa"/>
            <w:noWrap/>
          </w:tcPr>
          <w:p>
            <w:pPr/>
            <w:r>
              <w:rPr/>
              <w:t xml:space="preserve">Diciembre</w:t>
            </w:r>
          </w:p>
        </w:tc>
        <w:tc>
          <w:tcPr>
            <w:tcW w:w="7800" w:type="dxa"/>
            <w:noWrap/>
          </w:tcPr>
          <w:p>
            <w:pPr/>
            <w:r>
              <w:rPr/>
              <w:t xml:space="preserve">2024</w:t>
            </w:r>
          </w:p>
        </w:tc>
        <w:tc>
          <w:tcPr>
            <w:tcW w:w="7800" w:type="dxa"/>
            <w:noWrap/>
          </w:tcPr>
          <w:p>
            <w:pPr/>
            <w:r>
              <w:rPr/>
              <w:t xml:space="preserve">06</w:t>
            </w:r>
          </w:p>
        </w:tc>
        <w:tc>
          <w:tcPr>
            <w:tcW w:w="7800" w:type="dxa"/>
            <w:noWrap/>
          </w:tcPr>
          <w:p>
            <w:pPr/>
            <w:r>
              <w:rPr/>
              <w:t xml:space="preserve">13</w:t>
            </w:r>
          </w:p>
        </w:tc>
        <w:tc>
          <w:tcPr>
            <w:tcW w:w="7800" w:type="dxa"/>
            <w:noWrap/>
          </w:tcPr>
          <w:p>
            <w:pPr/>
            <w:r>
              <w:rPr/>
              <w:t xml:space="preserve">20</w:t>
            </w:r>
          </w:p>
        </w:tc>
        <w:tc>
          <w:tcPr>
            <w:tcW w:w="7800" w:type="dxa"/>
            <w:noWrap/>
          </w:tcPr>
          <w:p>
            <w:pPr/>
            <w:r>
              <w:rPr/>
              <w:t xml:space="preserve">27</w:t>
            </w:r>
          </w:p>
        </w:tc>
        <w:tc>
          <w:tcPr>
            <w:tcW w:w="7800" w:type="dxa"/>
            <w:noWrap/>
          </w:tcPr>
          <w:p>
            <w:pPr/>
            <w:r>
              <w:rPr/>
              <w:t xml:space="preserve">-</w:t>
            </w:r>
          </w:p>
        </w:tc>
      </w:tr>
      <w:tr>
        <w:trPr/>
        <w:tc>
          <w:tcPr>
            <w:tcW w:w="7800" w:type="dxa"/>
            <w:noWrap/>
          </w:tcPr>
          <w:p>
            <w:pPr/>
            <w:r>
              <w:rPr/>
              <w:t xml:space="preserve">Enero</w:t>
            </w:r>
          </w:p>
        </w:tc>
        <w:tc>
          <w:tcPr>
            <w:tcW w:w="7800" w:type="dxa"/>
            <w:noWrap/>
          </w:tcPr>
          <w:p>
            <w:pPr/>
            <w:r>
              <w:rPr/>
              <w:t xml:space="preserve">2025</w:t>
            </w:r>
          </w:p>
        </w:tc>
        <w:tc>
          <w:tcPr>
            <w:tcW w:w="7800" w:type="dxa"/>
            <w:noWrap/>
          </w:tcPr>
          <w:p>
            <w:pPr/>
            <w:r>
              <w:rPr/>
              <w:t xml:space="preserve">03</w:t>
            </w:r>
          </w:p>
        </w:tc>
        <w:tc>
          <w:tcPr>
            <w:tcW w:w="7800" w:type="dxa"/>
            <w:noWrap/>
          </w:tcPr>
          <w:p>
            <w:pPr/>
            <w:r>
              <w:rPr/>
              <w:t xml:space="preserve">17</w:t>
            </w:r>
          </w:p>
        </w:tc>
        <w:tc>
          <w:tcPr>
            <w:tcW w:w="7800" w:type="dxa"/>
            <w:noWrap/>
          </w:tcPr>
          <w:p>
            <w:pPr/>
            <w:r>
              <w:rPr/>
              <w:t xml:space="preserve">31</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Febrero</w:t>
            </w:r>
          </w:p>
        </w:tc>
        <w:tc>
          <w:tcPr>
            <w:tcW w:w="7800" w:type="dxa"/>
            <w:noWrap/>
          </w:tcPr>
          <w:p>
            <w:pPr/>
            <w:r>
              <w:rPr/>
              <w:t xml:space="preserve">2025</w:t>
            </w:r>
          </w:p>
        </w:tc>
        <w:tc>
          <w:tcPr>
            <w:tcW w:w="7800" w:type="dxa"/>
            <w:noWrap/>
          </w:tcPr>
          <w:p>
            <w:pPr/>
            <w:r>
              <w:rPr/>
              <w:t xml:space="preserve">14</w:t>
            </w:r>
          </w:p>
        </w:tc>
        <w:tc>
          <w:tcPr>
            <w:tcW w:w="7800" w:type="dxa"/>
            <w:noWrap/>
          </w:tcPr>
          <w:p>
            <w:pPr/>
            <w:r>
              <w:rPr/>
              <w:t xml:space="preserve">28</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Marzo</w:t>
            </w:r>
          </w:p>
        </w:tc>
        <w:tc>
          <w:tcPr>
            <w:tcW w:w="7800" w:type="dxa"/>
            <w:noWrap/>
          </w:tcPr>
          <w:p>
            <w:pPr/>
            <w:r>
              <w:rPr/>
              <w:t xml:space="preserve">2025</w:t>
            </w:r>
          </w:p>
        </w:tc>
        <w:tc>
          <w:tcPr>
            <w:tcW w:w="7800" w:type="dxa"/>
            <w:noWrap/>
          </w:tcPr>
          <w:p>
            <w:pPr/>
            <w:r>
              <w:rPr/>
              <w:t xml:space="preserve">14</w:t>
            </w:r>
          </w:p>
        </w:tc>
        <w:tc>
          <w:tcPr>
            <w:tcW w:w="7800" w:type="dxa"/>
            <w:noWrap/>
          </w:tcPr>
          <w:p>
            <w:pPr/>
            <w:r>
              <w:rPr/>
              <w:t xml:space="preserve">28</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Abril</w:t>
            </w:r>
          </w:p>
        </w:tc>
        <w:tc>
          <w:tcPr>
            <w:tcW w:w="7800" w:type="dxa"/>
            <w:noWrap/>
          </w:tcPr>
          <w:p>
            <w:pPr/>
            <w:r>
              <w:rPr/>
              <w:t xml:space="preserve">2025</w:t>
            </w:r>
          </w:p>
        </w:tc>
        <w:tc>
          <w:tcPr>
            <w:tcW w:w="7800" w:type="dxa"/>
            <w:noWrap/>
          </w:tcPr>
          <w:p>
            <w:pPr/>
            <w:r>
              <w:rPr/>
              <w:t xml:space="preserve">04</w:t>
            </w:r>
          </w:p>
        </w:tc>
        <w:tc>
          <w:tcPr>
            <w:tcW w:w="7800" w:type="dxa"/>
            <w:noWrap/>
          </w:tcPr>
          <w:p>
            <w:pPr/>
            <w:r>
              <w:rPr/>
              <w:t xml:space="preserve">11</w:t>
            </w:r>
          </w:p>
        </w:tc>
        <w:tc>
          <w:tcPr>
            <w:tcW w:w="7800" w:type="dxa"/>
            <w:noWrap/>
          </w:tcPr>
          <w:p>
            <w:pPr/>
            <w:r>
              <w:rPr/>
              <w:t xml:space="preserve">18</w:t>
            </w:r>
          </w:p>
        </w:tc>
        <w:tc>
          <w:tcPr>
            <w:tcW w:w="7800" w:type="dxa"/>
            <w:noWrap/>
          </w:tcPr>
          <w:p>
            <w:pPr/>
            <w:r>
              <w:rPr/>
              <w:t xml:space="preserve">25</w:t>
            </w:r>
          </w:p>
        </w:tc>
        <w:tc>
          <w:tcPr>
            <w:tcW w:w="7800" w:type="dxa"/>
            <w:noWrap/>
          </w:tcPr>
          <w:p>
            <w:pPr/>
            <w:r>
              <w:rPr/>
              <w:t xml:space="preserve">-</w:t>
            </w:r>
          </w:p>
        </w:tc>
      </w:tr>
      <w:tr>
        <w:trPr/>
        <w:tc>
          <w:tcPr>
            <w:tcW w:w="7800" w:type="dxa"/>
            <w:gridSpan w:val="7"/>
            <w:noWrap/>
          </w:tcPr>
          <w:p>
            <w:pPr/>
            <w:r>
              <w:rPr>
                <w:b w:val="1"/>
                <w:bCs w:val="1"/>
              </w:rPr>
              <w:t xml:space="preserve">Temporada Baja:</w:t>
            </w:r>
            <w:r>
              <w:rPr/>
              <w:t xml:space="preserve"> Noviembre / Diciembre / Enero’2025 / Febrero’2025.</w:t>
            </w:r>
          </w:p>
        </w:tc>
      </w:tr>
      <w:tr>
        <w:trPr/>
        <w:tc>
          <w:tcPr>
            <w:tcW w:w="7800" w:type="dxa"/>
            <w:gridSpan w:val="7"/>
            <w:noWrap/>
          </w:tcPr>
          <w:p>
            <w:pPr/>
            <w:r>
              <w:rPr>
                <w:b w:val="1"/>
                <w:bCs w:val="1"/>
              </w:rPr>
              <w:t xml:space="preserve">Temporada Alta: </w:t>
            </w:r>
            <w:r>
              <w:rPr/>
              <w:t xml:space="preserve">Mayo / Junio / Julio / Agosto / Septiembre / Octubre / Marzo’2025 / Abril’2025.</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r>
              <w:rPr>
                <w:b w:val="1"/>
                <w:bCs w:val="1"/>
              </w:rPr>
              <w:t xml:space="preserve">PRECIOS EN DOLARES AMERICANOS POR PERSONA </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r>
              <w:rPr>
                <w:b w:val="1"/>
                <w:bCs w:val="1"/>
              </w:rPr>
              <w:t xml:space="preserve">TEMPORADA</w:t>
            </w:r>
          </w:p>
        </w:tc>
        <w:tc>
          <w:tcPr>
            <w:tcW w:w="7800" w:type="dxa"/>
            <w:noWrap/>
          </w:tcPr>
          <w:p>
            <w:pPr/>
            <w:r>
              <w:rPr>
                <w:b w:val="1"/>
                <w:bCs w:val="1"/>
              </w:rPr>
              <w:t xml:space="preserve">VALOR POR PERSONA EN HAB. DOBLE</w:t>
            </w:r>
          </w:p>
        </w:tc>
      </w:tr>
      <w:tr>
        <w:trPr/>
        <w:tc>
          <w:tcPr>
            <w:tcW w:w="7800" w:type="dxa"/>
            <w:noWrap/>
          </w:tcPr>
          <w:p>
            <w:pPr/>
            <w:r>
              <w:rPr/>
              <w:t xml:space="preserve">Temporada Baja.</w:t>
            </w:r>
          </w:p>
        </w:tc>
        <w:tc>
          <w:tcPr>
            <w:tcW w:w="7800" w:type="dxa"/>
            <w:noWrap/>
          </w:tcPr>
          <w:p>
            <w:pPr/>
            <w:r>
              <w:rPr/>
              <w:t xml:space="preserve">USD 1.600</w:t>
            </w:r>
          </w:p>
        </w:tc>
      </w:tr>
      <w:tr>
        <w:trPr/>
        <w:tc>
          <w:tcPr>
            <w:tcW w:w="7800" w:type="dxa"/>
            <w:noWrap/>
          </w:tcPr>
          <w:p>
            <w:pPr/>
            <w:r>
              <w:rPr/>
              <w:t xml:space="preserve">Temporada Alta.</w:t>
            </w:r>
          </w:p>
        </w:tc>
        <w:tc>
          <w:tcPr>
            <w:tcW w:w="7800" w:type="dxa"/>
            <w:noWrap/>
          </w:tcPr>
          <w:p>
            <w:pPr/>
            <w:r>
              <w:rPr/>
              <w:t xml:space="preserve">USD 1.790</w:t>
            </w:r>
          </w:p>
        </w:tc>
      </w:tr>
      <w:tr>
        <w:trPr/>
        <w:tc>
          <w:tcPr>
            <w:tcW w:w="7800" w:type="dxa"/>
            <w:noWrap/>
          </w:tcPr>
          <w:p>
            <w:pPr/>
            <w:r>
              <w:rPr/>
              <w:t xml:space="preserve">Suplemento Habitación Individual – Temporada Baja.</w:t>
            </w:r>
          </w:p>
        </w:tc>
        <w:tc>
          <w:tcPr>
            <w:tcW w:w="7800" w:type="dxa"/>
            <w:noWrap/>
          </w:tcPr>
          <w:p>
            <w:pPr/>
            <w:r>
              <w:rPr/>
              <w:t xml:space="preserve">USD 860</w:t>
            </w:r>
          </w:p>
        </w:tc>
      </w:tr>
      <w:tr>
        <w:trPr/>
        <w:tc>
          <w:tcPr>
            <w:tcW w:w="7800" w:type="dxa"/>
            <w:noWrap/>
          </w:tcPr>
          <w:p>
            <w:pPr/>
            <w:r>
              <w:rPr/>
              <w:t xml:space="preserve">Suplemento Habitación Individual – Temporada Alta.</w:t>
            </w:r>
          </w:p>
        </w:tc>
        <w:tc>
          <w:tcPr>
            <w:tcW w:w="7800" w:type="dxa"/>
            <w:noWrap/>
          </w:tcPr>
          <w:p>
            <w:pPr/>
            <w:r>
              <w:rPr/>
              <w:t xml:space="preserve">USD 970</w:t>
            </w:r>
          </w:p>
        </w:tc>
      </w:tr>
      <w:tr>
        <w:trPr/>
        <w:tc>
          <w:tcPr>
            <w:tcW w:w="7800" w:type="dxa"/>
            <w:gridSpan w:val="2"/>
            <w:noWrap/>
          </w:tcPr>
          <w:p>
            <w:pPr/>
            <w:r>
              <w:rPr>
                <w:b w:val="1"/>
                <w:bCs w:val="1"/>
              </w:rPr>
              <w:t xml:space="preserve">*VALOR NO INCLUIDO</w:t>
            </w:r>
            <w:r>
              <w:rPr/>
              <w:t xml:space="preserve"> Impuesto (54 USD netos a pagar junto con la reserva)</w:t>
            </w:r>
          </w:p>
        </w:tc>
      </w:tr>
      <w:tr>
        <w:trPr/>
        <w:tc>
          <w:tcPr>
            <w:tcW w:w="7800" w:type="dxa"/>
            <w:gridSpan w:val="2"/>
            <w:noWrap/>
          </w:tcPr>
          <w:p>
            <w:pPr>
              <w:jc w:val="start"/>
            </w:pPr>
            <w:r>
              <w:rPr/>
              <w:t xml:space="preserve">			</w:t>
            </w:r>
          </w:p>
          <w:p>
            <w:pPr>
              <w:jc w:val="start"/>
              <w:spacing w:before="0" w:after="0"/>
            </w:pPr>
            <w:r>
              <w:rPr>
                <w:b w:val="1"/>
                <w:bCs w:val="1"/>
              </w:rPr>
              <w:t xml:space="preserve">TARIFA:</w:t>
            </w:r>
            <w:r>
              <w:rPr/>
              <w:t xml:space="preserve"> Esta tarifa aplica para pago en pesos colombianos a la TRM del día del pago, según la liquidación enviada.</w:t>
            </w:r>
          </w:p>
          <w:p>
            <w:pPr>
              <w:jc w:val="start"/>
            </w:pPr>
            <w:r>
              <w:rPr/>
              <w:t xml:space="preserve">			</w:t>
            </w:r>
          </w:p>
          <w:p>
            <w:pPr>
              <w:jc w:val="start"/>
              <w:spacing w:before="0" w:after="0"/>
            </w:pPr>
            <w:r>
              <w:rPr/>
              <w:t xml:space="preserve">*En la mayoría de los hoteles, la habitación triple consta de dos camas, o cama de matrimonio más un sofá-cama o cama plegable. (Las habitaciones triples están sujetas a disponibilidad de los hoteles).</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NOCHES</w:t>
            </w:r>
          </w:p>
        </w:tc>
      </w:tr>
      <w:tr>
        <w:trPr/>
        <w:tc>
          <w:tcPr>
            <w:tcW w:w="7800" w:type="dxa"/>
            <w:noWrap/>
          </w:tcPr>
          <w:p>
            <w:pPr/>
            <w:r>
              <w:rPr/>
              <w:t xml:space="preserve">Madrid</w:t>
            </w:r>
          </w:p>
        </w:tc>
        <w:tc>
          <w:tcPr>
            <w:tcW w:w="7800" w:type="dxa"/>
            <w:noWrap/>
          </w:tcPr>
          <w:p>
            <w:pPr/>
            <w:r>
              <w:rPr/>
              <w:t xml:space="preserve">Hampton by Hilton Alcobendas / Eurostars Congress.</w:t>
            </w:r>
          </w:p>
        </w:tc>
        <w:tc>
          <w:tcPr>
            <w:tcW w:w="7800" w:type="dxa"/>
            <w:noWrap/>
          </w:tcPr>
          <w:p>
            <w:pPr/>
            <w:r>
              <w:rPr/>
              <w:t xml:space="preserve">2</w:t>
            </w:r>
          </w:p>
        </w:tc>
      </w:tr>
      <w:tr>
        <w:trPr/>
        <w:tc>
          <w:tcPr>
            <w:tcW w:w="7800" w:type="dxa"/>
            <w:noWrap/>
          </w:tcPr>
          <w:p>
            <w:pPr/>
            <w:r>
              <w:rPr/>
              <w:t xml:space="preserve">Burdeos</w:t>
            </w:r>
          </w:p>
        </w:tc>
        <w:tc>
          <w:tcPr>
            <w:tcW w:w="7800" w:type="dxa"/>
            <w:noWrap/>
          </w:tcPr>
          <w:p>
            <w:pPr/>
            <w:r>
              <w:rPr/>
              <w:t xml:space="preserve">BB Begles.</w:t>
            </w:r>
          </w:p>
        </w:tc>
        <w:tc>
          <w:tcPr>
            <w:tcW w:w="7800" w:type="dxa"/>
            <w:noWrap/>
          </w:tcPr>
          <w:p>
            <w:pPr/>
            <w:r>
              <w:rPr/>
              <w:t xml:space="preserve">1</w:t>
            </w:r>
          </w:p>
        </w:tc>
      </w:tr>
      <w:tr>
        <w:trPr/>
        <w:tc>
          <w:tcPr>
            <w:tcW w:w="7800" w:type="dxa"/>
            <w:noWrap/>
          </w:tcPr>
          <w:p>
            <w:pPr/>
            <w:r>
              <w:rPr/>
              <w:t xml:space="preserve">París*</w:t>
            </w:r>
          </w:p>
        </w:tc>
        <w:tc>
          <w:tcPr>
            <w:tcW w:w="7800" w:type="dxa"/>
            <w:noWrap/>
          </w:tcPr>
          <w:p>
            <w:pPr/>
            <w:r>
              <w:rPr/>
              <w:t xml:space="preserve">BB Gennevilliers / BB Argenteuil / Tulip inn Massy.</w:t>
            </w:r>
          </w:p>
        </w:tc>
        <w:tc>
          <w:tcPr>
            <w:tcW w:w="7800" w:type="dxa"/>
            <w:noWrap/>
          </w:tcPr>
          <w:p>
            <w:pPr/>
            <w:r>
              <w:rPr/>
              <w:t xml:space="preserve">3</w:t>
            </w:r>
          </w:p>
        </w:tc>
      </w:tr>
      <w:tr>
        <w:trPr/>
        <w:tc>
          <w:tcPr>
            <w:tcW w:w="7800" w:type="dxa"/>
            <w:noWrap/>
          </w:tcPr>
          <w:p>
            <w:pPr/>
            <w:r>
              <w:rPr/>
              <w:t xml:space="preserve">Mulhouse</w:t>
            </w:r>
          </w:p>
        </w:tc>
        <w:tc>
          <w:tcPr>
            <w:tcW w:w="7800" w:type="dxa"/>
            <w:noWrap/>
          </w:tcPr>
          <w:p>
            <w:pPr/>
            <w:r>
              <w:rPr/>
              <w:t xml:space="preserve">Brit Mulhouse Centre.</w:t>
            </w:r>
          </w:p>
        </w:tc>
        <w:tc>
          <w:tcPr>
            <w:tcW w:w="7800" w:type="dxa"/>
            <w:noWrap/>
          </w:tcPr>
          <w:p>
            <w:pPr/>
            <w:r>
              <w:rPr/>
              <w:t xml:space="preserve">1</w:t>
            </w:r>
          </w:p>
        </w:tc>
      </w:tr>
      <w:tr>
        <w:trPr/>
        <w:tc>
          <w:tcPr>
            <w:tcW w:w="7800" w:type="dxa"/>
            <w:noWrap/>
          </w:tcPr>
          <w:p>
            <w:pPr/>
            <w:r>
              <w:rPr/>
              <w:t xml:space="preserve">Innsbruck</w:t>
            </w:r>
          </w:p>
        </w:tc>
        <w:tc>
          <w:tcPr>
            <w:tcW w:w="7800" w:type="dxa"/>
            <w:noWrap/>
          </w:tcPr>
          <w:p>
            <w:pPr/>
            <w:r>
              <w:rPr/>
              <w:t xml:space="preserve">Edelweiss / Harry’s Home Telfs.</w:t>
            </w:r>
          </w:p>
        </w:tc>
        <w:tc>
          <w:tcPr>
            <w:tcW w:w="7800" w:type="dxa"/>
            <w:noWrap/>
          </w:tcPr>
          <w:p>
            <w:pPr/>
            <w:r>
              <w:rPr/>
              <w:t xml:space="preserve">1</w:t>
            </w:r>
          </w:p>
        </w:tc>
      </w:tr>
      <w:tr>
        <w:trPr/>
        <w:tc>
          <w:tcPr>
            <w:tcW w:w="7800" w:type="dxa"/>
            <w:noWrap/>
          </w:tcPr>
          <w:p>
            <w:pPr/>
            <w:r>
              <w:rPr/>
              <w:t xml:space="preserve">Venecia (Mestre)</w:t>
            </w:r>
          </w:p>
        </w:tc>
        <w:tc>
          <w:tcPr>
            <w:tcW w:w="7800" w:type="dxa"/>
            <w:noWrap/>
          </w:tcPr>
          <w:p>
            <w:pPr/>
            <w:r>
              <w:rPr/>
              <w:t xml:space="preserve">Noventa Noventa Di Piave.</w:t>
            </w:r>
          </w:p>
        </w:tc>
        <w:tc>
          <w:tcPr>
            <w:tcW w:w="7800" w:type="dxa"/>
            <w:noWrap/>
          </w:tcPr>
          <w:p>
            <w:pPr/>
            <w:r>
              <w:rPr/>
              <w:t xml:space="preserve">1</w:t>
            </w:r>
          </w:p>
        </w:tc>
      </w:tr>
      <w:tr>
        <w:trPr/>
        <w:tc>
          <w:tcPr>
            <w:tcW w:w="7800" w:type="dxa"/>
            <w:noWrap/>
          </w:tcPr>
          <w:p>
            <w:pPr/>
            <w:r>
              <w:rPr/>
              <w:t xml:space="preserve">Florencia</w:t>
            </w:r>
          </w:p>
        </w:tc>
        <w:tc>
          <w:tcPr>
            <w:tcW w:w="7800" w:type="dxa"/>
            <w:noWrap/>
          </w:tcPr>
          <w:p>
            <w:pPr/>
            <w:r>
              <w:rPr/>
              <w:t xml:space="preserve">The Gate / M2.</w:t>
            </w:r>
          </w:p>
        </w:tc>
        <w:tc>
          <w:tcPr>
            <w:tcW w:w="7800" w:type="dxa"/>
            <w:noWrap/>
          </w:tcPr>
          <w:p>
            <w:pPr/>
            <w:r>
              <w:rPr/>
              <w:t xml:space="preserve">1</w:t>
            </w:r>
          </w:p>
        </w:tc>
      </w:tr>
      <w:tr>
        <w:trPr/>
        <w:tc>
          <w:tcPr>
            <w:tcW w:w="7800" w:type="dxa"/>
            <w:noWrap/>
          </w:tcPr>
          <w:p>
            <w:pPr/>
            <w:r>
              <w:rPr/>
              <w:t xml:space="preserve">Roma</w:t>
            </w:r>
          </w:p>
        </w:tc>
        <w:tc>
          <w:tcPr>
            <w:tcW w:w="7800" w:type="dxa"/>
            <w:noWrap/>
          </w:tcPr>
          <w:p>
            <w:pPr/>
            <w:r>
              <w:rPr/>
              <w:t xml:space="preserve">Black / Papillo.</w:t>
            </w:r>
          </w:p>
        </w:tc>
        <w:tc>
          <w:tcPr>
            <w:tcW w:w="7800" w:type="dxa"/>
            <w:noWrap/>
          </w:tcPr>
          <w:p>
            <w:pPr/>
            <w:r>
              <w:rPr/>
              <w:t xml:space="preserve">2</w:t>
            </w:r>
          </w:p>
        </w:tc>
      </w:tr>
      <w:tr>
        <w:trPr/>
        <w:tc>
          <w:tcPr>
            <w:tcW w:w="7800" w:type="dxa"/>
            <w:noWrap/>
          </w:tcPr>
          <w:p>
            <w:pPr/>
            <w:r>
              <w:rPr/>
              <w:t xml:space="preserve">Costa Azul</w:t>
            </w:r>
          </w:p>
        </w:tc>
        <w:tc>
          <w:tcPr>
            <w:tcW w:w="7800" w:type="dxa"/>
            <w:noWrap/>
          </w:tcPr>
          <w:p>
            <w:pPr/>
            <w:r>
              <w:rPr/>
              <w:t xml:space="preserve">Moxy Sophia Antipolis / Kyriad Nice.</w:t>
            </w:r>
          </w:p>
        </w:tc>
        <w:tc>
          <w:tcPr>
            <w:tcW w:w="7800" w:type="dxa"/>
            <w:noWrap/>
          </w:tcPr>
          <w:p>
            <w:pPr/>
            <w:r>
              <w:rPr/>
              <w:t xml:space="preserve">1</w:t>
            </w:r>
          </w:p>
        </w:tc>
      </w:tr>
      <w:tr>
        <w:trPr/>
        <w:tc>
          <w:tcPr>
            <w:tcW w:w="7800" w:type="dxa"/>
            <w:noWrap/>
          </w:tcPr>
          <w:p>
            <w:pPr/>
            <w:r>
              <w:rPr/>
              <w:t xml:space="preserve">Barcelona.</w:t>
            </w:r>
          </w:p>
        </w:tc>
        <w:tc>
          <w:tcPr>
            <w:tcW w:w="7800" w:type="dxa"/>
            <w:noWrap/>
          </w:tcPr>
          <w:p>
            <w:pPr/>
            <w:r>
              <w:rPr/>
              <w:t xml:space="preserve">AC Sant Cugat / Exe Barcera Parc.</w:t>
            </w:r>
          </w:p>
        </w:tc>
        <w:tc>
          <w:tcPr>
            <w:tcW w:w="7800" w:type="dxa"/>
            <w:noWrap/>
          </w:tcPr>
          <w:p>
            <w:pPr/>
            <w:r>
              <w:rPr/>
              <w:t xml:space="preserve">1</w:t>
            </w:r>
          </w:p>
        </w:tc>
      </w:tr>
      <w:tr>
        <w:trPr/>
        <w:tc>
          <w:tcPr>
            <w:tcW w:w="7800" w:type="dxa"/>
            <w:gridSpan w:val="3"/>
            <w:noWrap/>
          </w:tcPr>
          <w:p>
            <w:pPr/>
            <w:r>
              <w:rPr/>
              <w:t xml:space="preserve">*El alojamiento durante los Juegos Olímpicos en París, podrá ser en poblaciones cercanas.</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Seguro de asistencia en viaje.</w:t>
      </w:r>
    </w:p>
    <w:p>
      <w:pPr>
        <w:numPr>
          <w:ilvl w:val="1"/>
          <w:numId w:val="1"/>
        </w:numPr>
      </w:pPr>
      <w:r>
        <w:rPr/>
        <w:t xml:space="preserve">Traslado de llegada y salida (apto /hotel /apto).</w:t>
      </w:r>
    </w:p>
    <w:p>
      <w:pPr>
        <w:numPr>
          <w:ilvl w:val="1"/>
          <w:numId w:val="1"/>
        </w:numPr>
      </w:pPr>
      <w:r>
        <w:rPr/>
        <w:t xml:space="preserve">Alojamiento con desayuno buffet.</w:t>
      </w:r>
    </w:p>
    <w:p>
      <w:pPr>
        <w:numPr>
          <w:ilvl w:val="1"/>
          <w:numId w:val="1"/>
        </w:numPr>
      </w:pPr>
      <w:r>
        <w:rPr/>
        <w:t xml:space="preserve">Guía acompañante de habla hispana durante todo el viaje.</w:t>
      </w:r>
    </w:p>
    <w:p>
      <w:pPr>
        <w:numPr>
          <w:ilvl w:val="1"/>
          <w:numId w:val="1"/>
        </w:numPr>
      </w:pPr>
      <w:r>
        <w:rPr/>
        <w:t xml:space="preserve">Visita con guía local en París, Venecia, Florencia, Roma, Barcelona.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Vuelo intercontinental y/o domésticos.</w:t>
      </w:r>
    </w:p>
    <w:p>
      <w:pPr>
        <w:numPr>
          <w:ilvl w:val="1"/>
          <w:numId w:val="1"/>
        </w:numPr>
      </w:pPr>
      <w:r>
        <w:rPr/>
        <w:t xml:space="preserve">Ningún servicio no especificado en el incluye.</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2 % Fee bancario.</w:t>
      </w:r>
    </w:p>
    <w:p>
      <w:pPr>
        <w:numPr>
          <w:ilvl w:val="1"/>
          <w:numId w:val="1"/>
        </w:numPr>
      </w:pPr>
      <w:r>
        <w:rPr/>
        <w:t xml:space="preserve">Tarjeta de asistencia médica.</w:t>
      </w:r>
    </w:p>
    <w:p>
      <w:pPr>
        <w:numPr>
          <w:ilvl w:val="1"/>
          <w:numId w:val="1"/>
        </w:numPr>
      </w:pPr>
      <w:r>
        <w:rPr/>
        <w:t xml:space="preserve">Propinas en las ciudades de visita.</w:t>
      </w:r>
    </w:p>
    <w:p>
      <w:pPr>
        <w:numPr>
          <w:ilvl w:val="1"/>
          <w:numId w:val="1"/>
        </w:numPr>
      </w:pPr>
      <w:r>
        <w:rPr/>
        <w:t xml:space="preserve">*City tax (54 USD netos a pagar junto con la reserva).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430B6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2024-12-27T02:04:20+00:00</dcterms:created>
  <dcterms:modified xsi:type="dcterms:W3CDTF">2024-12-27T02:04:20+00:00</dcterms:modified>
</cp:coreProperties>
</file>

<file path=docProps/custom.xml><?xml version="1.0" encoding="utf-8"?>
<Properties xmlns="http://schemas.openxmlformats.org/officeDocument/2006/custom-properties" xmlns:vt="http://schemas.openxmlformats.org/officeDocument/2006/docPropsVTypes"/>
</file>