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GRECIA DE SINFONIA                    </w:t>
      </w:r>
    </w:p>
    <w:p>
      <w:pPr/>
      <w:r>
        <w:rPr>
          <w:rFonts w:ascii="Arial" w:hAnsi="Arial" w:eastAsia="Arial" w:cs="Arial"/>
          <w:color w:val="light"/>
          <w:sz w:val="22"/>
          <w:szCs w:val="22"/>
          <w:b w:val="0"/>
          <w:bCs w:val="0"/>
        </w:rPr>
        <w:t xml:space="preserve">MTC - 18170</w:t>
      </w:r>
    </w:p>
    <w:p>
      <w:pPr/>
      <w:r>
        <w:rPr>
          <w:rFonts w:ascii="Arial" w:hAnsi="Arial" w:eastAsia="Arial" w:cs="Arial"/>
          <w:color w:val="light"/>
          <w:sz w:val="22"/>
          <w:szCs w:val="22"/>
          <w:b w:val="0"/>
          <w:bCs w:val="0"/>
        </w:rPr>
        <w:t xml:space="preserve">10 Días y 9 Noches</w:t>
      </w:r>
    </w:p>
    <w:p/>
    <w:p/>
    <w:p>
      <w:pPr>
        <w:jc w:val="center"/>
        <w:spacing w:before="450"/>
      </w:pPr>
      <w:r>
        <w:rPr>
          <w:sz w:val="40.5"/>
          <w:szCs w:val="40.5"/>
        </w:rPr>
        <w:t xml:space="preserve">Desde $1320</w:t>
      </w:r>
      <w:r>
        <w:rPr>
          <w:sz w:val="22.5"/>
          <w:szCs w:val="22.5"/>
          <w:vertAlign w:val="subscript"/>
        </w:rPr>
        <w:t xml:space="preserve">EUR</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Grecia,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Atenas, </w:t>
      </w:r>
      <w:r>
        <w:rPr/>
        <w:t xml:space="preserve">Delfos, </w:t>
      </w:r>
      <w:r>
        <w:rPr/>
        <w:t xml:space="preserve">Kalambaka, </w:t>
      </w:r>
      <w:r>
        <w:rPr/>
        <w:t xml:space="preserve">Mykonos, </w:t>
      </w:r>
      <w:r>
        <w:rPr/>
        <w:t xml:space="preserve">Santorini,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(MIÉRCOLES) ATENAS.</w:t>
      </w:r>
      <w:br/>
      <w:r>
        <w:rPr/>
        <w:t xml:space="preserve">Llegada al aeropuerto de Atenas y traslado al hotel. </w:t>
      </w:r>
      <w:r>
        <w:rPr>
          <w:b w:val="1"/>
          <w:bCs w:val="1"/>
        </w:rPr>
        <w:t xml:space="preserve">Alojamiento.</w:t>
      </w:r>
    </w:p>
    <w:p>
      <w:pPr/>
      <w:br/>
      <w:r>
        <w:rPr>
          <w:b w:val="1"/>
          <w:bCs w:val="1"/>
        </w:rPr>
        <w:t xml:space="preserve">DÍA 02 (JUEVES) ATENAS - Visita de ½ Dia Atenas.</w:t>
      </w:r>
      <w:br/>
      <w:r>
        <w:rPr>
          <w:b w:val="1"/>
          <w:bCs w:val="1"/>
        </w:rPr>
        <w:t xml:space="preserve">Desayuno.</w:t>
      </w:r>
      <w:r>
        <w:rPr/>
        <w:t xml:space="preserve"> Salida para realizar la Visita de Ciudad ½ Día: Acrópolis y Panorámica de Atenas. El Partenón, símbolo clásico de la arquitectura, construido totalmente en mármol blanco. El Partenón es el mayor Templo erigido en honor a la diosa Atenea. El tour panorámico nos lleva por las partes más importantes de la ciudad como la Tumba del soldado desconocido, el Parlamento y el Estadio Panatinaikon, donde se celebraron los primeros Juegos Olímpicos de la era moderna. Tarde libre. </w:t>
      </w:r>
      <w:r>
        <w:rPr>
          <w:b w:val="1"/>
          <w:bCs w:val="1"/>
        </w:rPr>
        <w:t xml:space="preserve">Alojamiento.</w:t>
      </w:r>
    </w:p>
    <w:p>
      <w:pPr/>
      <w:br/>
      <w:r>
        <w:rPr>
          <w:b w:val="1"/>
          <w:bCs w:val="1"/>
        </w:rPr>
        <w:t xml:space="preserve">DÍA 03 (VIERNES) ATENAS - DELFO.</w:t>
      </w:r>
      <w:br/>
      <w:r>
        <w:rPr>
          <w:b w:val="1"/>
          <w:bCs w:val="1"/>
        </w:rPr>
        <w:t xml:space="preserve">Desayuno</w:t>
      </w:r>
      <w:r>
        <w:rPr/>
        <w:t xml:space="preserve"> y salida para comenzar el Circuito de dos días. En el monte Parnaso se encuentra el centro sagrado de Delfos, famoso por su oráculo al Dios Apolo. Visita del recinto arqueológico y museo, en donde entre otras obras, veremos la famosa estatua “El Auriga De Bronce”. Salida hacia Kalambaka. Llegada, </w:t>
      </w:r>
      <w:r>
        <w:rPr>
          <w:b w:val="1"/>
          <w:bCs w:val="1"/>
        </w:rPr>
        <w:t xml:space="preserve">cena y alojamiento en el hotel.</w:t>
      </w:r>
    </w:p>
    <w:p>
      <w:pPr/>
      <w:br/>
      <w:r>
        <w:rPr>
          <w:b w:val="1"/>
          <w:bCs w:val="1"/>
        </w:rPr>
        <w:t xml:space="preserve">DIA 04 (SÁBADO) DELFOS – KALAMBAKA - ATENAS.</w:t>
      </w:r>
      <w:br/>
      <w:r>
        <w:rPr/>
        <w:t xml:space="preserve">Desayuno. Visita de dos de los Monasterios colgantes de Meteora, centro religioso y monástico entre los siglos XII-XVIII. Regreso a Atenas pasando por Termópilas, donde veremos la estatua del Rey Espartano Leónidas. Regreso a Atenas sobre las 19:30hrs.</w:t>
      </w:r>
      <w:r>
        <w:rPr>
          <w:b w:val="1"/>
          <w:bCs w:val="1"/>
        </w:rPr>
        <w:t xml:space="preserve"> Alojamiento.</w:t>
      </w:r>
    </w:p>
    <w:p>
      <w:pPr/>
      <w:br/>
      <w:r>
        <w:rPr>
          <w:b w:val="1"/>
          <w:bCs w:val="1"/>
        </w:rPr>
        <w:t xml:space="preserve">DIA 05 (DOMINGO) ATENAS - MYKONOS.</w:t>
      </w:r>
      <w:br/>
      <w:r>
        <w:rPr/>
        <w:t xml:space="preserve">Desayuno. Traslado al puerto de Pireo para embarcar en el ferry con destino Mykonos. Llegada al puerto de Mykonos y traslado al hotel. Tarde libre.</w:t>
      </w:r>
      <w:r>
        <w:rPr>
          <w:b w:val="1"/>
          <w:bCs w:val="1"/>
        </w:rPr>
        <w:t xml:space="preserve"> Alojamiento.</w:t>
      </w:r>
    </w:p>
    <w:p>
      <w:pPr/>
      <w:br/>
      <w:r>
        <w:rPr>
          <w:b w:val="1"/>
          <w:bCs w:val="1"/>
        </w:rPr>
        <w:t xml:space="preserve">DIA 06 (LUNES) MYKONOS.</w:t>
      </w:r>
      <w:br/>
      <w:r>
        <w:rPr>
          <w:b w:val="1"/>
          <w:bCs w:val="1"/>
        </w:rPr>
        <w:t xml:space="preserve">Desayuno</w:t>
      </w:r>
      <w:r>
        <w:rPr/>
        <w:t xml:space="preserve">. Día libre para disfrutar de la isla. </w:t>
      </w:r>
      <w:r>
        <w:rPr>
          <w:b w:val="1"/>
          <w:bCs w:val="1"/>
        </w:rPr>
        <w:t xml:space="preserve">Alojamiento.</w:t>
      </w:r>
      <w:br/>
      <w:br/>
      <w:r>
        <w:rPr>
          <w:b w:val="1"/>
          <w:bCs w:val="1"/>
        </w:rPr>
        <w:t xml:space="preserve">DIA 07 (MARTES) MYKONOS - SANTORINI.</w:t>
      </w:r>
      <w:br/>
      <w:r>
        <w:rPr>
          <w:b w:val="1"/>
          <w:bCs w:val="1"/>
        </w:rPr>
        <w:t xml:space="preserve">Desayuno.</w:t>
      </w:r>
      <w:r>
        <w:rPr/>
        <w:t xml:space="preserve"> Tiempo libre hasta la hora del traslado al puerto para embarcar hacia Santorini. Llegada a Santorini, traslado al hotel.</w:t>
      </w:r>
      <w:r>
        <w:rPr>
          <w:b w:val="1"/>
          <w:bCs w:val="1"/>
        </w:rPr>
        <w:t xml:space="preserve"> Alojamiento.</w:t>
      </w:r>
    </w:p>
    <w:p>
      <w:pPr/>
      <w:br/>
      <w:r>
        <w:rPr>
          <w:b w:val="1"/>
          <w:bCs w:val="1"/>
        </w:rPr>
        <w:t xml:space="preserve">DIA 08 (MIÉRCOLES) SANTORINI.</w:t>
      </w:r>
      <w:br/>
      <w:r>
        <w:rPr>
          <w:b w:val="1"/>
          <w:bCs w:val="1"/>
        </w:rPr>
        <w:t xml:space="preserve">Desayuno</w:t>
      </w:r>
      <w:r>
        <w:rPr/>
        <w:t xml:space="preserve">. Día libre para disfrutar de la isla. </w:t>
      </w:r>
      <w:r>
        <w:rPr>
          <w:b w:val="1"/>
          <w:bCs w:val="1"/>
        </w:rPr>
        <w:t xml:space="preserve">Alojamiento.</w:t>
      </w:r>
    </w:p>
    <w:p>
      <w:pPr/>
      <w:br/>
      <w:r>
        <w:rPr>
          <w:b w:val="1"/>
          <w:bCs w:val="1"/>
        </w:rPr>
        <w:t xml:space="preserve">DIA 09 (JUEVES) SANTORINI - ATENAS.</w:t>
      </w:r>
      <w:br/>
      <w:r>
        <w:rPr/>
        <w:t xml:space="preserve">Desayuno. Tiempo libre hasta la hora del traslado al puerto para embarcar y regresar a Atenas. Llegada al puerto de Pireo y traslado al hotel. </w:t>
      </w:r>
      <w:r>
        <w:rPr>
          <w:b w:val="1"/>
          <w:bCs w:val="1"/>
        </w:rPr>
        <w:t xml:space="preserve">Alojamiento.</w:t>
      </w:r>
    </w:p>
    <w:p>
      <w:pPr/>
      <w:br/>
      <w:r>
        <w:rPr>
          <w:b w:val="1"/>
          <w:bCs w:val="1"/>
        </w:rPr>
        <w:t xml:space="preserve">DIA 10 (VIERNES) ATENAS.</w:t>
      </w:r>
      <w:br/>
      <w:r>
        <w:rPr>
          <w:b w:val="1"/>
          <w:bCs w:val="1"/>
        </w:rPr>
        <w:t xml:space="preserve">Desayuno.</w:t>
      </w:r>
      <w:r>
        <w:rPr/>
        <w:t xml:space="preserve"> A la hora acordada traslado al aeropuerto. Fin de su estancia en Grecia.</w:t>
      </w:r>
      <w:br/>
      <w:br/>
      <w:r>
        <w:rPr>
          <w:b w:val="1"/>
          <w:bCs w:val="1"/>
        </w:rPr>
        <w:t xml:space="preserve">FIN DE LOS SERVICIOS</w:t>
      </w:r>
      <w:br/>
      <w:br/>
      <w:r>
        <w:rPr/>
        <w:t xml:space="preserve">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EUROS POR PERSONA </w:t>
            </w:r>
            <w:r>
              <w:rPr>
                <w:color w:val="ffffff"/>
                <w:sz w:val="21"/>
                <w:szCs w:val="21"/>
                <w:b w:val="0"/>
                <w:bCs w:val="0"/>
                <w:shd w:val="clear" w:fill="152441"/>
              </w:rPr>
              <w:t xml:space="preserve">SUJETOS A CAMBIOS SIN PREVIO AVISO Y DISPONIBILIDAD AL MOMENTO DE LA RESERVA. PRECIO BASE A PARTIR DE DOS PASAJEROS</w:t>
            </w:r>
          </w:p>
        </w:tc>
      </w:tr>
      <w:tr>
        <w:trPr/>
        <w:tc>
          <w:tcPr>
            <w:tcW w:w="7800" w:type="dxa"/>
            <w:gridSpan w:val="2"/>
            <w:noWrap/>
          </w:tcPr>
          <w:p>
            <w:pPr>
              <w:jc w:val="start"/>
              <w:spacing w:before="0" w:after="0"/>
            </w:pPr>
            <w:r>
              <w:rPr>
                <w:b w:val="1"/>
                <w:bCs w:val="1"/>
              </w:rPr>
              <w:t xml:space="preserve">LUJO</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r>
      <w:tr>
        <w:trPr/>
        <w:tc>
          <w:tcPr>
            <w:tcW w:w="7800" w:type="dxa"/>
            <w:noWrap/>
          </w:tcPr>
          <w:p>
            <w:pPr>
              <w:jc w:val="start"/>
              <w:spacing w:before="0" w:after="0"/>
            </w:pPr>
            <w:r>
              <w:rPr/>
              <w:t xml:space="preserve">01/05 – 31/05</w:t>
            </w:r>
          </w:p>
        </w:tc>
        <w:tc>
          <w:tcPr>
            <w:tcW w:w="7800" w:type="dxa"/>
            <w:noWrap/>
          </w:tcPr>
          <w:p>
            <w:pPr>
              <w:jc w:val="start"/>
              <w:spacing w:before="0" w:after="0"/>
            </w:pPr>
            <w:r>
              <w:rPr/>
              <w:t xml:space="preserve">21/09 – 31/10</w:t>
            </w:r>
          </w:p>
        </w:tc>
        <w:tc>
          <w:tcPr>
            <w:tcW w:w="7800" w:type="dxa"/>
            <w:noWrap/>
          </w:tcPr>
          <w:p>
            <w:pPr>
              <w:jc w:val="start"/>
              <w:spacing w:before="0" w:after="0"/>
            </w:pPr>
            <w:r>
              <w:rPr/>
              <w:t xml:space="preserve">EUR 4.360</w:t>
            </w:r>
          </w:p>
        </w:tc>
        <w:tc>
          <w:tcPr>
            <w:tcW w:w="7800" w:type="dxa"/>
            <w:noWrap/>
          </w:tcPr>
          <w:p>
            <w:pPr>
              <w:jc w:val="start"/>
              <w:spacing w:before="0" w:after="0"/>
            </w:pPr>
            <w:r>
              <w:rPr/>
              <w:t xml:space="preserve">EUR 2.707</w:t>
            </w:r>
          </w:p>
        </w:tc>
        <w:tc>
          <w:tcPr>
            <w:tcW w:w="7800" w:type="dxa"/>
            <w:noWrap/>
          </w:tcPr>
          <w:p>
            <w:pPr>
              <w:jc w:val="start"/>
              <w:spacing w:before="0" w:after="0"/>
            </w:pPr>
            <w:r>
              <w:rPr/>
              <w:t xml:space="preserve">EUR 2.347</w:t>
            </w:r>
          </w:p>
        </w:tc>
      </w:tr>
      <w:tr>
        <w:trPr/>
        <w:tc>
          <w:tcPr>
            <w:tcW w:w="7800" w:type="dxa"/>
            <w:gridSpan w:val="2"/>
            <w:noWrap/>
          </w:tcPr>
          <w:p>
            <w:pPr>
              <w:jc w:val="start"/>
              <w:spacing w:before="0" w:after="0"/>
            </w:pPr>
            <w:r>
              <w:rPr/>
              <w:t xml:space="preserve">01/06 – 30/06</w:t>
            </w:r>
          </w:p>
        </w:tc>
        <w:tc>
          <w:tcPr>
            <w:tcW w:w="7800" w:type="dxa"/>
            <w:noWrap/>
          </w:tcPr>
          <w:p>
            <w:pPr>
              <w:jc w:val="start"/>
              <w:spacing w:before="0" w:after="0"/>
            </w:pPr>
            <w:r>
              <w:rPr/>
              <w:t xml:space="preserve">EUR 4.907</w:t>
            </w:r>
          </w:p>
        </w:tc>
        <w:tc>
          <w:tcPr>
            <w:tcW w:w="7800" w:type="dxa"/>
            <w:noWrap/>
          </w:tcPr>
          <w:p>
            <w:pPr>
              <w:jc w:val="start"/>
              <w:spacing w:before="0" w:after="0"/>
            </w:pPr>
            <w:r>
              <w:rPr/>
              <w:t xml:space="preserve">EUR 3.113</w:t>
            </w:r>
          </w:p>
        </w:tc>
        <w:tc>
          <w:tcPr>
            <w:tcW w:w="7800" w:type="dxa"/>
            <w:noWrap/>
          </w:tcPr>
          <w:p>
            <w:pPr>
              <w:jc w:val="start"/>
              <w:spacing w:before="0" w:after="0"/>
            </w:pPr>
            <w:r>
              <w:rPr/>
              <w:t xml:space="preserve">EUR 2.633</w:t>
            </w:r>
          </w:p>
        </w:tc>
      </w:tr>
      <w:tr>
        <w:trPr/>
        <w:tc>
          <w:tcPr>
            <w:tcW w:w="7800" w:type="dxa"/>
            <w:gridSpan w:val="2"/>
            <w:noWrap/>
          </w:tcPr>
          <w:p>
            <w:pPr>
              <w:jc w:val="start"/>
              <w:spacing w:before="0" w:after="0"/>
            </w:pPr>
            <w:r>
              <w:rPr/>
              <w:t xml:space="preserve">01/07 – 20/09</w:t>
            </w:r>
          </w:p>
        </w:tc>
        <w:tc>
          <w:tcPr>
            <w:tcW w:w="7800" w:type="dxa"/>
            <w:noWrap/>
          </w:tcPr>
          <w:p>
            <w:pPr>
              <w:jc w:val="start"/>
              <w:spacing w:before="0" w:after="0"/>
            </w:pPr>
            <w:r>
              <w:rPr/>
              <w:t xml:space="preserve">EUR 5.333</w:t>
            </w:r>
          </w:p>
        </w:tc>
        <w:tc>
          <w:tcPr>
            <w:tcW w:w="7800" w:type="dxa"/>
            <w:noWrap/>
          </w:tcPr>
          <w:p>
            <w:pPr>
              <w:jc w:val="start"/>
              <w:spacing w:before="0" w:after="0"/>
            </w:pPr>
            <w:r>
              <w:rPr/>
              <w:t xml:space="preserve">EUR 3.327</w:t>
            </w:r>
          </w:p>
        </w:tc>
        <w:tc>
          <w:tcPr>
            <w:tcW w:w="7800" w:type="dxa"/>
            <w:noWrap/>
          </w:tcPr>
          <w:p>
            <w:pPr>
              <w:jc w:val="start"/>
              <w:spacing w:before="0" w:after="0"/>
            </w:pPr>
            <w:r>
              <w:rPr/>
              <w:t xml:space="preserve">EUR 2.880</w:t>
            </w:r>
          </w:p>
        </w:tc>
      </w:tr>
      <w:tr>
        <w:trPr/>
        <w:tc>
          <w:tcPr>
            <w:tcW w:w="7800" w:type="dxa"/>
            <w:gridSpan w:val="2"/>
            <w:noWrap/>
          </w:tcPr>
          <w:p>
            <w:pPr>
              <w:jc w:val="start"/>
              <w:spacing w:before="0" w:after="0"/>
            </w:pPr>
            <w:r>
              <w:rPr>
                <w:b w:val="1"/>
                <w:bCs w:val="1"/>
              </w:rPr>
              <w:t xml:space="preserve">SUPERIOR</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r>
      <w:tr>
        <w:trPr/>
        <w:tc>
          <w:tcPr>
            <w:tcW w:w="7800" w:type="dxa"/>
            <w:noWrap/>
          </w:tcPr>
          <w:p>
            <w:pPr>
              <w:jc w:val="start"/>
              <w:spacing w:before="0" w:after="0"/>
            </w:pPr>
            <w:r>
              <w:rPr/>
              <w:t xml:space="preserve"> </w:t>
            </w:r>
          </w:p>
        </w:tc>
        <w:tc>
          <w:tcPr>
            <w:tcW w:w="7800" w:type="dxa"/>
            <w:noWrap/>
          </w:tcPr>
          <w:p>
            <w:pPr>
              <w:jc w:val="start"/>
              <w:spacing w:before="0" w:after="0"/>
            </w:pPr>
            <w:r>
              <w:rPr/>
              <w:t xml:space="preserve">16/10 – 31/10</w:t>
            </w:r>
          </w:p>
        </w:tc>
        <w:tc>
          <w:tcPr>
            <w:tcW w:w="7800" w:type="dxa"/>
            <w:noWrap/>
          </w:tcPr>
          <w:p>
            <w:pPr>
              <w:jc w:val="start"/>
              <w:spacing w:before="0" w:after="0"/>
            </w:pPr>
            <w:r>
              <w:rPr/>
              <w:t xml:space="preserve">EUR 3.120</w:t>
            </w:r>
          </w:p>
        </w:tc>
        <w:tc>
          <w:tcPr>
            <w:tcW w:w="7800" w:type="dxa"/>
            <w:noWrap/>
          </w:tcPr>
          <w:p>
            <w:pPr>
              <w:jc w:val="start"/>
              <w:spacing w:before="0" w:after="0"/>
            </w:pPr>
            <w:r>
              <w:rPr/>
              <w:t xml:space="preserve">EUR 1.973</w:t>
            </w:r>
          </w:p>
        </w:tc>
        <w:tc>
          <w:tcPr>
            <w:tcW w:w="7800" w:type="dxa"/>
            <w:noWrap/>
          </w:tcPr>
          <w:p>
            <w:pPr>
              <w:jc w:val="start"/>
              <w:spacing w:before="0" w:after="0"/>
            </w:pPr>
            <w:r>
              <w:rPr/>
              <w:t xml:space="preserve">EUR 1.727</w:t>
            </w:r>
          </w:p>
        </w:tc>
      </w:tr>
      <w:tr>
        <w:trPr/>
        <w:tc>
          <w:tcPr>
            <w:tcW w:w="7800" w:type="dxa"/>
            <w:gridSpan w:val="2"/>
            <w:noWrap/>
          </w:tcPr>
          <w:p>
            <w:pPr>
              <w:jc w:val="start"/>
              <w:spacing w:before="0" w:after="0"/>
            </w:pPr>
            <w:r>
              <w:rPr/>
              <w:t xml:space="preserve">01/05 – 31/05</w:t>
            </w:r>
          </w:p>
        </w:tc>
        <w:tc>
          <w:tcPr>
            <w:tcW w:w="7800" w:type="dxa"/>
            <w:noWrap/>
          </w:tcPr>
          <w:p>
            <w:pPr>
              <w:jc w:val="start"/>
              <w:spacing w:before="0" w:after="0"/>
            </w:pPr>
            <w:r>
              <w:rPr/>
              <w:t xml:space="preserve">EUR 3.253</w:t>
            </w:r>
          </w:p>
        </w:tc>
        <w:tc>
          <w:tcPr>
            <w:tcW w:w="7800" w:type="dxa"/>
            <w:noWrap/>
          </w:tcPr>
          <w:p>
            <w:pPr>
              <w:jc w:val="start"/>
              <w:spacing w:before="0" w:after="0"/>
            </w:pPr>
            <w:r>
              <w:rPr/>
              <w:t xml:space="preserve">EUR 2.040</w:t>
            </w:r>
          </w:p>
        </w:tc>
        <w:tc>
          <w:tcPr>
            <w:tcW w:w="7800" w:type="dxa"/>
            <w:noWrap/>
          </w:tcPr>
          <w:p>
            <w:pPr>
              <w:jc w:val="start"/>
              <w:spacing w:before="0" w:after="0"/>
            </w:pPr>
            <w:r>
              <w:rPr/>
              <w:t xml:space="preserve">EUR 1.773</w:t>
            </w:r>
          </w:p>
        </w:tc>
      </w:tr>
      <w:tr>
        <w:trPr/>
        <w:tc>
          <w:tcPr>
            <w:tcW w:w="7800" w:type="dxa"/>
            <w:noWrap/>
          </w:tcPr>
          <w:p>
            <w:pPr>
              <w:jc w:val="start"/>
              <w:spacing w:before="0" w:after="0"/>
            </w:pPr>
            <w:r>
              <w:rPr/>
              <w:t xml:space="preserve">01/06 – 17/07</w:t>
            </w:r>
          </w:p>
        </w:tc>
        <w:tc>
          <w:tcPr>
            <w:tcW w:w="7800" w:type="dxa"/>
            <w:noWrap/>
          </w:tcPr>
          <w:p>
            <w:pPr>
              <w:jc w:val="start"/>
              <w:spacing w:before="0" w:after="0"/>
            </w:pPr>
            <w:r>
              <w:rPr/>
              <w:t xml:space="preserve">21/09 – 15/10</w:t>
            </w:r>
          </w:p>
        </w:tc>
        <w:tc>
          <w:tcPr>
            <w:tcW w:w="7800" w:type="dxa"/>
            <w:noWrap/>
          </w:tcPr>
          <w:p>
            <w:pPr>
              <w:jc w:val="start"/>
              <w:spacing w:before="0" w:after="0"/>
            </w:pPr>
            <w:r>
              <w:rPr/>
              <w:t xml:space="preserve">EUR 3.787</w:t>
            </w:r>
          </w:p>
        </w:tc>
        <w:tc>
          <w:tcPr>
            <w:tcW w:w="7800" w:type="dxa"/>
            <w:noWrap/>
          </w:tcPr>
          <w:p>
            <w:pPr>
              <w:jc w:val="start"/>
              <w:spacing w:before="0" w:after="0"/>
            </w:pPr>
            <w:r>
              <w:rPr/>
              <w:t xml:space="preserve">EUR 2.280</w:t>
            </w:r>
          </w:p>
        </w:tc>
        <w:tc>
          <w:tcPr>
            <w:tcW w:w="7800" w:type="dxa"/>
            <w:noWrap/>
          </w:tcPr>
          <w:p>
            <w:pPr>
              <w:jc w:val="start"/>
              <w:spacing w:before="0" w:after="0"/>
            </w:pPr>
            <w:r>
              <w:rPr/>
              <w:t xml:space="preserve">EUR 2.040</w:t>
            </w:r>
          </w:p>
        </w:tc>
      </w:tr>
      <w:tr>
        <w:trPr/>
        <w:tc>
          <w:tcPr>
            <w:tcW w:w="7800" w:type="dxa"/>
            <w:gridSpan w:val="2"/>
            <w:noWrap/>
          </w:tcPr>
          <w:p>
            <w:pPr>
              <w:jc w:val="start"/>
              <w:spacing w:before="0" w:after="0"/>
            </w:pPr>
            <w:r>
              <w:rPr/>
              <w:t xml:space="preserve">18/07 – 20/09</w:t>
            </w:r>
          </w:p>
        </w:tc>
        <w:tc>
          <w:tcPr>
            <w:tcW w:w="7800" w:type="dxa"/>
            <w:noWrap/>
          </w:tcPr>
          <w:p>
            <w:pPr>
              <w:jc w:val="start"/>
              <w:spacing w:before="0" w:after="0"/>
            </w:pPr>
            <w:r>
              <w:rPr/>
              <w:t xml:space="preserve">EUR 4.100</w:t>
            </w:r>
          </w:p>
        </w:tc>
        <w:tc>
          <w:tcPr>
            <w:tcW w:w="7800" w:type="dxa"/>
            <w:noWrap/>
          </w:tcPr>
          <w:p>
            <w:pPr>
              <w:jc w:val="start"/>
              <w:spacing w:before="0" w:after="0"/>
            </w:pPr>
            <w:r>
              <w:rPr/>
              <w:t xml:space="preserve">EUR 2.400</w:t>
            </w:r>
          </w:p>
        </w:tc>
        <w:tc>
          <w:tcPr>
            <w:tcW w:w="7800" w:type="dxa"/>
            <w:noWrap/>
          </w:tcPr>
          <w:p>
            <w:pPr>
              <w:jc w:val="start"/>
              <w:spacing w:before="0" w:after="0"/>
            </w:pPr>
            <w:r>
              <w:rPr/>
              <w:t xml:space="preserve">EUR 2.200</w:t>
            </w:r>
          </w:p>
        </w:tc>
      </w:tr>
      <w:tr>
        <w:trPr/>
        <w:tc>
          <w:tcPr>
            <w:tcW w:w="7800" w:type="dxa"/>
            <w:gridSpan w:val="2"/>
            <w:noWrap/>
          </w:tcPr>
          <w:p>
            <w:pPr>
              <w:jc w:val="start"/>
              <w:spacing w:before="0" w:after="0"/>
            </w:pPr>
            <w:r>
              <w:rPr>
                <w:b w:val="1"/>
                <w:bCs w:val="1"/>
              </w:rPr>
              <w:t xml:space="preserve">SELECCIÓN</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r>
      <w:tr>
        <w:trPr/>
        <w:tc>
          <w:tcPr>
            <w:tcW w:w="7800" w:type="dxa"/>
            <w:gridSpan w:val="2"/>
            <w:noWrap/>
          </w:tcPr>
          <w:p>
            <w:pPr>
              <w:jc w:val="start"/>
              <w:spacing w:before="0" w:after="0"/>
            </w:pPr>
            <w:r>
              <w:rPr/>
              <w:t xml:space="preserve">01/05 – 31/05</w:t>
            </w:r>
          </w:p>
        </w:tc>
        <w:tc>
          <w:tcPr>
            <w:tcW w:w="7800" w:type="dxa"/>
            <w:noWrap/>
          </w:tcPr>
          <w:p>
            <w:pPr>
              <w:jc w:val="start"/>
              <w:spacing w:before="0" w:after="0"/>
            </w:pPr>
            <w:r>
              <w:rPr/>
              <w:t xml:space="preserve">EUR 2.773</w:t>
            </w:r>
          </w:p>
        </w:tc>
        <w:tc>
          <w:tcPr>
            <w:tcW w:w="7800" w:type="dxa"/>
            <w:noWrap/>
          </w:tcPr>
          <w:p>
            <w:pPr>
              <w:jc w:val="start"/>
              <w:spacing w:before="0" w:after="0"/>
            </w:pPr>
            <w:r>
              <w:rPr/>
              <w:t xml:space="preserve">EUR 1.800</w:t>
            </w:r>
          </w:p>
        </w:tc>
        <w:tc>
          <w:tcPr>
            <w:tcW w:w="7800" w:type="dxa"/>
            <w:noWrap/>
          </w:tcPr>
          <w:p>
            <w:pPr>
              <w:jc w:val="start"/>
              <w:spacing w:before="0" w:after="0"/>
            </w:pPr>
            <w:r>
              <w:rPr/>
              <w:t xml:space="preserve">EUR 1.633</w:t>
            </w:r>
          </w:p>
        </w:tc>
      </w:tr>
      <w:tr>
        <w:trPr/>
        <w:tc>
          <w:tcPr>
            <w:tcW w:w="7800" w:type="dxa"/>
            <w:noWrap/>
          </w:tcPr>
          <w:p>
            <w:pPr>
              <w:jc w:val="start"/>
              <w:spacing w:before="0" w:after="0"/>
            </w:pPr>
            <w:r>
              <w:rPr/>
              <w:t xml:space="preserve">01/06 – 15/07</w:t>
            </w:r>
          </w:p>
        </w:tc>
        <w:tc>
          <w:tcPr>
            <w:tcW w:w="7800" w:type="dxa"/>
            <w:noWrap/>
          </w:tcPr>
          <w:p>
            <w:pPr>
              <w:jc w:val="start"/>
              <w:spacing w:before="0" w:after="0"/>
            </w:pPr>
            <w:r>
              <w:rPr/>
              <w:t xml:space="preserve">01/09 – 10/10</w:t>
            </w:r>
          </w:p>
        </w:tc>
        <w:tc>
          <w:tcPr>
            <w:tcW w:w="7800" w:type="dxa"/>
            <w:noWrap/>
          </w:tcPr>
          <w:p>
            <w:pPr>
              <w:jc w:val="start"/>
              <w:spacing w:before="0" w:after="0"/>
            </w:pPr>
            <w:r>
              <w:rPr/>
              <w:t xml:space="preserve">EUR 3.107</w:t>
            </w:r>
          </w:p>
        </w:tc>
        <w:tc>
          <w:tcPr>
            <w:tcW w:w="7800" w:type="dxa"/>
            <w:noWrap/>
          </w:tcPr>
          <w:p>
            <w:pPr>
              <w:jc w:val="start"/>
              <w:spacing w:before="0" w:after="0"/>
            </w:pPr>
            <w:r>
              <w:rPr/>
              <w:t xml:space="preserve">EUR 1.973</w:t>
            </w:r>
          </w:p>
        </w:tc>
        <w:tc>
          <w:tcPr>
            <w:tcW w:w="7800" w:type="dxa"/>
            <w:noWrap/>
          </w:tcPr>
          <w:p>
            <w:pPr>
              <w:jc w:val="start"/>
              <w:spacing w:before="0" w:after="0"/>
            </w:pPr>
            <w:r>
              <w:rPr/>
              <w:t xml:space="preserve">EUR 1.760</w:t>
            </w:r>
          </w:p>
        </w:tc>
      </w:tr>
      <w:tr>
        <w:trPr/>
        <w:tc>
          <w:tcPr>
            <w:tcW w:w="7800" w:type="dxa"/>
            <w:gridSpan w:val="2"/>
            <w:noWrap/>
          </w:tcPr>
          <w:p>
            <w:pPr>
              <w:jc w:val="start"/>
              <w:spacing w:before="0" w:after="0"/>
            </w:pPr>
            <w:r>
              <w:rPr/>
              <w:t xml:space="preserve">16/07 – 31/08</w:t>
            </w:r>
          </w:p>
        </w:tc>
        <w:tc>
          <w:tcPr>
            <w:tcW w:w="7800" w:type="dxa"/>
            <w:noWrap/>
          </w:tcPr>
          <w:p>
            <w:pPr>
              <w:jc w:val="start"/>
              <w:spacing w:before="0" w:after="0"/>
            </w:pPr>
            <w:r>
              <w:rPr/>
              <w:t xml:space="preserve">EUR 3.333</w:t>
            </w:r>
          </w:p>
        </w:tc>
        <w:tc>
          <w:tcPr>
            <w:tcW w:w="7800" w:type="dxa"/>
            <w:noWrap/>
          </w:tcPr>
          <w:p>
            <w:pPr>
              <w:jc w:val="start"/>
              <w:spacing w:before="0" w:after="0"/>
            </w:pPr>
            <w:r>
              <w:rPr/>
              <w:t xml:space="preserve">EUR 2.053</w:t>
            </w:r>
          </w:p>
        </w:tc>
        <w:tc>
          <w:tcPr>
            <w:tcW w:w="7800" w:type="dxa"/>
            <w:noWrap/>
          </w:tcPr>
          <w:p>
            <w:pPr>
              <w:jc w:val="start"/>
              <w:spacing w:before="0" w:after="0"/>
            </w:pPr>
            <w:r>
              <w:rPr/>
              <w:t xml:space="preserve">EUR 1.840</w:t>
            </w:r>
          </w:p>
        </w:tc>
      </w:tr>
      <w:tr>
        <w:trPr/>
        <w:tc>
          <w:tcPr>
            <w:tcW w:w="7800" w:type="dxa"/>
            <w:gridSpan w:val="2"/>
            <w:noWrap/>
          </w:tcPr>
          <w:p>
            <w:pPr>
              <w:jc w:val="start"/>
              <w:spacing w:before="0" w:after="0"/>
            </w:pPr>
            <w:r>
              <w:rPr>
                <w:b w:val="1"/>
                <w:bCs w:val="1"/>
              </w:rPr>
              <w:t xml:space="preserve">BÁSICO</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r>
      <w:tr>
        <w:trPr/>
        <w:tc>
          <w:tcPr>
            <w:tcW w:w="7800" w:type="dxa"/>
            <w:noWrap/>
          </w:tcPr>
          <w:p>
            <w:pPr>
              <w:jc w:val="start"/>
              <w:spacing w:before="0" w:after="0"/>
            </w:pPr>
            <w:r>
              <w:rPr/>
              <w:t xml:space="preserve">01/05 – 31/05</w:t>
            </w:r>
          </w:p>
        </w:tc>
        <w:tc>
          <w:tcPr>
            <w:tcW w:w="7800" w:type="dxa"/>
            <w:noWrap/>
          </w:tcPr>
          <w:p>
            <w:pPr>
              <w:jc w:val="start"/>
              <w:spacing w:before="0" w:after="0"/>
            </w:pPr>
            <w:r>
              <w:rPr/>
              <w:t xml:space="preserve">01/10 – 31/10</w:t>
            </w:r>
          </w:p>
        </w:tc>
        <w:tc>
          <w:tcPr>
            <w:tcW w:w="7800" w:type="dxa"/>
            <w:noWrap/>
          </w:tcPr>
          <w:p>
            <w:pPr>
              <w:jc w:val="start"/>
              <w:spacing w:before="0" w:after="0"/>
            </w:pPr>
            <w:r>
              <w:rPr/>
              <w:t xml:space="preserve">EUR 2.173</w:t>
            </w:r>
          </w:p>
        </w:tc>
        <w:tc>
          <w:tcPr>
            <w:tcW w:w="7800" w:type="dxa"/>
            <w:noWrap/>
          </w:tcPr>
          <w:p>
            <w:pPr>
              <w:jc w:val="start"/>
              <w:spacing w:before="0" w:after="0"/>
            </w:pPr>
            <w:r>
              <w:rPr/>
              <w:t xml:space="preserve">EUR 1.467</w:t>
            </w:r>
          </w:p>
        </w:tc>
        <w:tc>
          <w:tcPr>
            <w:tcW w:w="7800" w:type="dxa"/>
            <w:noWrap/>
          </w:tcPr>
          <w:p>
            <w:pPr>
              <w:jc w:val="start"/>
              <w:spacing w:before="0" w:after="0"/>
            </w:pPr>
            <w:r>
              <w:rPr/>
              <w:t xml:space="preserve">EUR 1.333</w:t>
            </w:r>
          </w:p>
        </w:tc>
      </w:tr>
      <w:tr>
        <w:trPr/>
        <w:tc>
          <w:tcPr>
            <w:tcW w:w="7800" w:type="dxa"/>
            <w:noWrap/>
          </w:tcPr>
          <w:p>
            <w:pPr>
              <w:jc w:val="start"/>
              <w:spacing w:before="0" w:after="0"/>
            </w:pPr>
            <w:r>
              <w:rPr/>
              <w:t xml:space="preserve">01/06 – 30/06</w:t>
            </w:r>
          </w:p>
        </w:tc>
        <w:tc>
          <w:tcPr>
            <w:tcW w:w="7800" w:type="dxa"/>
            <w:noWrap/>
          </w:tcPr>
          <w:p>
            <w:pPr>
              <w:jc w:val="start"/>
              <w:spacing w:before="0" w:after="0"/>
            </w:pPr>
            <w:r>
              <w:rPr/>
              <w:t xml:space="preserve">16/09 – 30/09</w:t>
            </w:r>
          </w:p>
        </w:tc>
        <w:tc>
          <w:tcPr>
            <w:tcW w:w="7800" w:type="dxa"/>
            <w:noWrap/>
          </w:tcPr>
          <w:p>
            <w:pPr>
              <w:jc w:val="start"/>
              <w:spacing w:before="0" w:after="0"/>
            </w:pPr>
            <w:r>
              <w:rPr/>
              <w:t xml:space="preserve">EUR 2.320</w:t>
            </w:r>
          </w:p>
        </w:tc>
        <w:tc>
          <w:tcPr>
            <w:tcW w:w="7800" w:type="dxa"/>
            <w:noWrap/>
          </w:tcPr>
          <w:p>
            <w:pPr>
              <w:jc w:val="start"/>
              <w:spacing w:before="0" w:after="0"/>
            </w:pPr>
            <w:r>
              <w:rPr/>
              <w:t xml:space="preserve">EUR 1.573</w:t>
            </w:r>
          </w:p>
        </w:tc>
        <w:tc>
          <w:tcPr>
            <w:tcW w:w="7800" w:type="dxa"/>
            <w:noWrap/>
          </w:tcPr>
          <w:p>
            <w:pPr>
              <w:jc w:val="start"/>
              <w:spacing w:before="0" w:after="0"/>
            </w:pPr>
            <w:r>
              <w:rPr/>
              <w:t xml:space="preserve">EUR 1.420</w:t>
            </w:r>
          </w:p>
        </w:tc>
      </w:tr>
      <w:tr>
        <w:trPr/>
        <w:tc>
          <w:tcPr>
            <w:tcW w:w="7800" w:type="dxa"/>
            <w:noWrap/>
          </w:tcPr>
          <w:p>
            <w:pPr>
              <w:jc w:val="start"/>
              <w:spacing w:before="0" w:after="0"/>
            </w:pPr>
            <w:r>
              <w:rPr/>
              <w:t xml:space="preserve">01/07 – 20/07</w:t>
            </w:r>
          </w:p>
        </w:tc>
        <w:tc>
          <w:tcPr>
            <w:tcW w:w="7800" w:type="dxa"/>
            <w:noWrap/>
          </w:tcPr>
          <w:p>
            <w:pPr>
              <w:jc w:val="start"/>
              <w:spacing w:before="0" w:after="0"/>
            </w:pPr>
            <w:r>
              <w:rPr/>
              <w:t xml:space="preserve">27/08 – 15/09</w:t>
            </w:r>
          </w:p>
        </w:tc>
        <w:tc>
          <w:tcPr>
            <w:tcW w:w="7800" w:type="dxa"/>
            <w:noWrap/>
          </w:tcPr>
          <w:p>
            <w:pPr>
              <w:jc w:val="start"/>
              <w:spacing w:before="0" w:after="0"/>
            </w:pPr>
            <w:r>
              <w:rPr/>
              <w:t xml:space="preserve">EUR 2.587</w:t>
            </w:r>
          </w:p>
        </w:tc>
        <w:tc>
          <w:tcPr>
            <w:tcW w:w="7800" w:type="dxa"/>
            <w:noWrap/>
          </w:tcPr>
          <w:p>
            <w:pPr>
              <w:jc w:val="start"/>
              <w:spacing w:before="0" w:after="0"/>
            </w:pPr>
            <w:r>
              <w:rPr/>
              <w:t xml:space="preserve">EUR 1.660</w:t>
            </w:r>
          </w:p>
        </w:tc>
        <w:tc>
          <w:tcPr>
            <w:tcW w:w="7800" w:type="dxa"/>
            <w:noWrap/>
          </w:tcPr>
          <w:p>
            <w:pPr>
              <w:jc w:val="start"/>
              <w:spacing w:before="0" w:after="0"/>
            </w:pPr>
            <w:r>
              <w:rPr/>
              <w:t xml:space="preserve">EUR 1.533</w:t>
            </w:r>
          </w:p>
        </w:tc>
      </w:tr>
      <w:tr>
        <w:trPr/>
        <w:tc>
          <w:tcPr>
            <w:tcW w:w="7800" w:type="dxa"/>
            <w:gridSpan w:val="2"/>
            <w:noWrap/>
          </w:tcPr>
          <w:p>
            <w:pPr>
              <w:jc w:val="start"/>
              <w:spacing w:before="0" w:after="0"/>
            </w:pPr>
            <w:r>
              <w:rPr/>
              <w:t xml:space="preserve">21/07 – 26/08</w:t>
            </w:r>
          </w:p>
        </w:tc>
        <w:tc>
          <w:tcPr>
            <w:tcW w:w="7800" w:type="dxa"/>
            <w:noWrap/>
          </w:tcPr>
          <w:p>
            <w:pPr>
              <w:jc w:val="start"/>
              <w:spacing w:before="0" w:after="0"/>
            </w:pPr>
            <w:r>
              <w:rPr/>
              <w:t xml:space="preserve">EUR 2.733</w:t>
            </w:r>
          </w:p>
        </w:tc>
        <w:tc>
          <w:tcPr>
            <w:tcW w:w="7800" w:type="dxa"/>
            <w:noWrap/>
          </w:tcPr>
          <w:p>
            <w:pPr>
              <w:jc w:val="start"/>
              <w:spacing w:before="0" w:after="0"/>
            </w:pPr>
            <w:r>
              <w:rPr/>
              <w:t xml:space="preserve">EUR 1.707</w:t>
            </w:r>
          </w:p>
        </w:tc>
        <w:tc>
          <w:tcPr>
            <w:tcW w:w="7800" w:type="dxa"/>
            <w:noWrap/>
          </w:tcPr>
          <w:p>
            <w:pPr>
              <w:jc w:val="start"/>
              <w:spacing w:before="0" w:after="0"/>
            </w:pPr>
            <w:r>
              <w:rPr/>
              <w:t xml:space="preserve">EUR 1.587</w:t>
            </w:r>
          </w:p>
        </w:tc>
      </w:tr>
      <w:tr>
        <w:trPr/>
        <w:tc>
          <w:tcPr>
            <w:tcW w:w="7800" w:type="dxa"/>
            <w:gridSpan w:val="5"/>
            <w:noWrap/>
          </w:tcPr>
          <w:p>
            <w:pPr>
              <w:jc w:val="start"/>
              <w:spacing w:before="0" w:after="0"/>
            </w:pPr>
            <w:r>
              <w:rPr/>
              <w:t xml:space="preserve"> </w:t>
            </w:r>
          </w:p>
        </w:tc>
      </w:tr>
    </w:tbl>
    <w:p>
      <w:pPr>
        <w:spacing w:before="0" w:after="0"/>
      </w:pPr>
      <w:r>
        <w:rPr>
          <w:b w:val="1"/>
          <w:bCs w:val="1"/>
        </w:rPr>
        <w:t xml:space="preserve">TARIFAS VIGENTES HASTA 30 SEPTIEMBRE 2025.</w:t>
      </w:r>
    </w:p>
    <w:p>
      <w:pPr>
        <w:spacing w:before="0" w:after="0"/>
      </w:pPr>
      <w:r>
        <w:rPr>
          <w:b w:val="1"/>
          <w:bCs w:val="1"/>
        </w:rPr>
        <w:t xml:space="preserve">TARIFA:</w:t>
      </w:r>
      <w:r>
        <w:rPr/>
        <w:t xml:space="preserve"> Esta tarifa aplica pago en pesos colombianos a la Tasa de cambio del día del pago, según la liquidación enviada. Las compañías navieras que están realizando las líneas marítimas entre las islas, tienen derecho a modificar su programación y horarios como también realizar cambios de barcos, cuando las mismas lo consideran necesario. Mega Travel Colombia, Ni el operador, como operadora intermediaria, tiene ninguna responsabilidad de los posibles problemas que se puedan causar por estos cambios.</w:t>
      </w:r>
    </w:p>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1"/>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EXCURSIONES OPCIONALES</w:t>
            </w:r>
          </w:p>
          <w:p>
            <w:pPr>
              <w:jc w:val="start"/>
              <w:spacing w:before="0" w:after="0"/>
            </w:pPr>
            <w:r>
              <w:rPr/>
              <w:t xml:space="preserve">PRECIO POR PERSONA EN EUROS</w:t>
            </w:r>
          </w:p>
        </w:tc>
      </w:tr>
      <w:tr>
        <w:trPr/>
        <w:tc>
          <w:tcPr>
            <w:tcW w:w="7800" w:type="dxa"/>
            <w:noWrap/>
          </w:tcPr>
          <w:p>
            <w:pPr>
              <w:jc w:val="start"/>
              <w:spacing w:before="0" w:after="0"/>
            </w:pPr>
            <w:r>
              <w:rPr>
                <w:b w:val="1"/>
                <w:bCs w:val="1"/>
              </w:rPr>
              <w:t xml:space="preserve">Mykonos: Delos-Reñía Sailing Cruise:</w:t>
            </w:r>
            <w:r>
              <w:rPr/>
              <w:t xml:space="preserve"> Crucero de 7 horas, con traslados y almuerzo incluido (no incluido la entrada en Delos y toallas)</w:t>
            </w:r>
          </w:p>
        </w:tc>
        <w:tc>
          <w:tcPr>
            <w:tcW w:w="7800" w:type="dxa"/>
            <w:noWrap/>
          </w:tcPr>
          <w:p>
            <w:pPr>
              <w:jc w:val="start"/>
              <w:spacing w:before="0" w:after="0"/>
            </w:pPr>
            <w:r>
              <w:rPr>
                <w:b w:val="1"/>
                <w:bCs w:val="1"/>
              </w:rPr>
              <w:t xml:space="preserve">169 €</w:t>
            </w:r>
          </w:p>
          <w:p>
            <w:pPr>
              <w:jc w:val="start"/>
              <w:spacing w:before="0" w:after="0"/>
            </w:pPr>
            <w:r>
              <w:rPr>
                <w:b w:val="1"/>
                <w:bCs w:val="1"/>
              </w:rPr>
              <w:t xml:space="preserve">POR PAX</w:t>
            </w:r>
          </w:p>
        </w:tc>
      </w:tr>
      <w:tr>
        <w:trPr/>
        <w:tc>
          <w:tcPr>
            <w:tcW w:w="7800" w:type="dxa"/>
            <w:noWrap/>
          </w:tcPr>
          <w:p>
            <w:pPr>
              <w:jc w:val="start"/>
              <w:spacing w:before="0" w:after="0"/>
            </w:pPr>
            <w:r>
              <w:rPr>
                <w:b w:val="1"/>
                <w:bCs w:val="1"/>
              </w:rPr>
              <w:t xml:space="preserve">Santorini: Semi Privado Crucero de 5 horas - Dos opciones: </w:t>
            </w:r>
            <w:r>
              <w:rPr/>
              <w:t xml:space="preserve">Morning o Puesta del Sol Tour con traslados, comida y bebidas a bordo.</w:t>
            </w:r>
          </w:p>
        </w:tc>
        <w:tc>
          <w:tcPr>
            <w:tcW w:w="7800" w:type="dxa"/>
            <w:noWrap/>
          </w:tcPr>
          <w:p>
            <w:pPr>
              <w:jc w:val="start"/>
              <w:spacing w:before="0" w:after="0"/>
            </w:pPr>
            <w:r>
              <w:rPr>
                <w:b w:val="1"/>
                <w:bCs w:val="1"/>
              </w:rPr>
              <w:t xml:space="preserve">138 €</w:t>
            </w:r>
          </w:p>
          <w:p>
            <w:pPr>
              <w:jc w:val="start"/>
              <w:spacing w:before="0" w:after="0"/>
            </w:pPr>
            <w:r>
              <w:rPr>
                <w:b w:val="1"/>
                <w:bCs w:val="1"/>
              </w:rPr>
              <w:t xml:space="preserve">POR PAX</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SUPLEMENTO</w:t>
            </w:r>
          </w:p>
          <w:p>
            <w:pPr>
              <w:jc w:val="start"/>
              <w:spacing w:before="0" w:after="0"/>
            </w:pPr>
            <w:r>
              <w:rPr/>
              <w:t xml:space="preserve">PRECIO POR PERSONA EN EUROS</w:t>
            </w:r>
          </w:p>
        </w:tc>
      </w:tr>
      <w:tr>
        <w:trPr/>
        <w:tc>
          <w:tcPr>
            <w:tcW w:w="7800" w:type="dxa"/>
            <w:noWrap/>
          </w:tcPr>
          <w:p>
            <w:pPr>
              <w:jc w:val="start"/>
              <w:spacing w:before="0" w:after="0"/>
            </w:pPr>
            <w:r>
              <w:rPr/>
              <w:t xml:space="preserve">Barcos Rápidos en clase económica numerada</w:t>
            </w:r>
          </w:p>
        </w:tc>
        <w:tc>
          <w:tcPr>
            <w:tcW w:w="7800" w:type="dxa"/>
            <w:noWrap/>
          </w:tcPr>
          <w:p>
            <w:pPr>
              <w:jc w:val="start"/>
              <w:spacing w:before="0" w:after="0"/>
            </w:pPr>
            <w:r>
              <w:rPr>
                <w:b w:val="1"/>
                <w:bCs w:val="1"/>
              </w:rPr>
              <w:t xml:space="preserve">78 €</w:t>
            </w:r>
          </w:p>
          <w:p>
            <w:pPr>
              <w:jc w:val="start"/>
              <w:spacing w:before="0" w:after="0"/>
            </w:pPr>
            <w:r>
              <w:rPr>
                <w:b w:val="1"/>
                <w:bCs w:val="1"/>
              </w:rPr>
              <w:t xml:space="preserve">POR PAX</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HOTELES EN ATENAS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BÁSICO</w:t>
            </w:r>
          </w:p>
        </w:tc>
        <w:tc>
          <w:tcPr>
            <w:tcW w:w="7800" w:type="dxa"/>
            <w:noWrap/>
          </w:tcPr>
          <w:p>
            <w:pPr>
              <w:jc w:val="start"/>
              <w:spacing w:before="0" w:after="0"/>
            </w:pPr>
            <w:r>
              <w:rPr>
                <w:b w:val="1"/>
                <w:bCs w:val="1"/>
              </w:rPr>
              <w:t xml:space="preserve">SELECCIÓN</w:t>
            </w:r>
          </w:p>
        </w:tc>
        <w:tc>
          <w:tcPr>
            <w:tcW w:w="7800" w:type="dxa"/>
            <w:noWrap/>
          </w:tcPr>
          <w:p>
            <w:pPr>
              <w:jc w:val="start"/>
              <w:spacing w:before="0" w:after="0"/>
            </w:pPr>
            <w:r>
              <w:rPr>
                <w:b w:val="1"/>
                <w:bCs w:val="1"/>
              </w:rPr>
              <w:t xml:space="preserve">SUPERIOR</w:t>
            </w:r>
          </w:p>
        </w:tc>
        <w:tc>
          <w:tcPr>
            <w:tcW w:w="7800" w:type="dxa"/>
            <w:noWrap/>
          </w:tcPr>
          <w:p>
            <w:pPr>
              <w:jc w:val="start"/>
              <w:spacing w:before="0" w:after="0"/>
            </w:pPr>
            <w:r>
              <w:rPr>
                <w:b w:val="1"/>
                <w:bCs w:val="1"/>
              </w:rPr>
              <w:t xml:space="preserve">LUJO</w:t>
            </w:r>
          </w:p>
        </w:tc>
      </w:tr>
      <w:tr>
        <w:trPr/>
        <w:tc>
          <w:tcPr>
            <w:tcW w:w="7800" w:type="dxa"/>
            <w:noWrap/>
          </w:tcPr>
          <w:p>
            <w:pPr>
              <w:jc w:val="start"/>
              <w:spacing w:before="0" w:after="0"/>
            </w:pPr>
            <w:r>
              <w:rPr>
                <w:b w:val="1"/>
                <w:bCs w:val="1"/>
              </w:rPr>
              <w:t xml:space="preserve">HOTEL</w:t>
            </w:r>
          </w:p>
        </w:tc>
        <w:tc>
          <w:tcPr>
            <w:tcW w:w="7800" w:type="dxa"/>
            <w:noWrap/>
          </w:tcPr>
          <w:p>
            <w:pPr>
              <w:jc w:val="start"/>
              <w:spacing w:before="0" w:after="0"/>
            </w:pPr>
            <w:r>
              <w:rPr/>
              <w:t xml:space="preserve">Hotel Crystal City o Similar</w:t>
            </w:r>
          </w:p>
        </w:tc>
        <w:tc>
          <w:tcPr>
            <w:tcW w:w="7800" w:type="dxa"/>
            <w:noWrap/>
          </w:tcPr>
          <w:p>
            <w:pPr>
              <w:jc w:val="start"/>
              <w:spacing w:before="0" w:after="0"/>
            </w:pPr>
            <w:r>
              <w:rPr/>
              <w:t xml:space="preserve">Hotel Polis Grand o Similar</w:t>
            </w:r>
          </w:p>
        </w:tc>
        <w:tc>
          <w:tcPr>
            <w:tcW w:w="7800" w:type="dxa"/>
            <w:noWrap/>
          </w:tcPr>
          <w:p>
            <w:pPr>
              <w:jc w:val="start"/>
              <w:spacing w:before="0" w:after="0"/>
            </w:pPr>
            <w:r>
              <w:rPr/>
              <w:t xml:space="preserve">Hotel Wyndham o Similar</w:t>
            </w:r>
          </w:p>
        </w:tc>
        <w:tc>
          <w:tcPr>
            <w:tcW w:w="7800" w:type="dxa"/>
            <w:noWrap/>
          </w:tcPr>
          <w:p>
            <w:pPr>
              <w:jc w:val="start"/>
              <w:spacing w:before="0" w:after="0"/>
            </w:pPr>
            <w:r>
              <w:rPr/>
              <w:t xml:space="preserve">Hotel Athens Plaza o Similar</w:t>
            </w:r>
          </w:p>
        </w:tc>
      </w:tr>
      <w:tr>
        <w:trPr/>
        <w:tc>
          <w:tcPr>
            <w:tcW w:w="7800" w:type="dxa"/>
            <w:gridSpan w:val="5"/>
            <w:noWrap/>
          </w:tcPr>
          <w:p>
            <w:pPr>
              <w:jc w:val="start"/>
              <w:spacing w:before="0" w:after="0"/>
            </w:pPr>
            <w:r>
              <w:rPr>
                <w:b w:val="1"/>
                <w:bCs w:val="1"/>
              </w:rPr>
              <w:t xml:space="preserve">HOTELES EN SANTORINI</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BÁSICO</w:t>
            </w:r>
          </w:p>
        </w:tc>
        <w:tc>
          <w:tcPr>
            <w:tcW w:w="7800" w:type="dxa"/>
            <w:noWrap/>
          </w:tcPr>
          <w:p>
            <w:pPr>
              <w:jc w:val="start"/>
              <w:spacing w:before="0" w:after="0"/>
            </w:pPr>
            <w:r>
              <w:rPr>
                <w:b w:val="1"/>
                <w:bCs w:val="1"/>
              </w:rPr>
              <w:t xml:space="preserve">SELECCIÓN</w:t>
            </w:r>
          </w:p>
        </w:tc>
        <w:tc>
          <w:tcPr>
            <w:tcW w:w="7800" w:type="dxa"/>
            <w:noWrap/>
          </w:tcPr>
          <w:p>
            <w:pPr>
              <w:jc w:val="start"/>
              <w:spacing w:before="0" w:after="0"/>
            </w:pPr>
            <w:r>
              <w:rPr>
                <w:b w:val="1"/>
                <w:bCs w:val="1"/>
              </w:rPr>
              <w:t xml:space="preserve">SUPERIOR</w:t>
            </w:r>
          </w:p>
        </w:tc>
        <w:tc>
          <w:tcPr>
            <w:tcW w:w="7800" w:type="dxa"/>
            <w:noWrap/>
          </w:tcPr>
          <w:p>
            <w:pPr>
              <w:jc w:val="start"/>
              <w:spacing w:before="0" w:after="0"/>
            </w:pPr>
            <w:r>
              <w:rPr>
                <w:b w:val="1"/>
                <w:bCs w:val="1"/>
              </w:rPr>
              <w:t xml:space="preserve">LUJO</w:t>
            </w:r>
          </w:p>
        </w:tc>
      </w:tr>
      <w:tr>
        <w:trPr/>
        <w:tc>
          <w:tcPr>
            <w:tcW w:w="7800" w:type="dxa"/>
            <w:noWrap/>
          </w:tcPr>
          <w:p>
            <w:pPr>
              <w:jc w:val="start"/>
              <w:spacing w:before="0" w:after="0"/>
            </w:pPr>
            <w:r>
              <w:rPr>
                <w:b w:val="1"/>
                <w:bCs w:val="1"/>
              </w:rPr>
              <w:t xml:space="preserve">HOTEL</w:t>
            </w:r>
          </w:p>
        </w:tc>
        <w:tc>
          <w:tcPr>
            <w:tcW w:w="7800" w:type="dxa"/>
            <w:noWrap/>
          </w:tcPr>
          <w:p>
            <w:pPr>
              <w:jc w:val="start"/>
              <w:spacing w:before="0" w:after="0"/>
            </w:pPr>
            <w:r>
              <w:rPr/>
              <w:t xml:space="preserve">Hotel Kamari Beach o Similar</w:t>
            </w:r>
          </w:p>
        </w:tc>
        <w:tc>
          <w:tcPr>
            <w:tcW w:w="7800" w:type="dxa"/>
            <w:noWrap/>
          </w:tcPr>
          <w:p>
            <w:pPr>
              <w:jc w:val="start"/>
              <w:spacing w:before="0" w:after="0"/>
            </w:pPr>
            <w:r>
              <w:rPr/>
              <w:t xml:space="preserve">Hotel Aegean Plaza o Similar</w:t>
            </w:r>
          </w:p>
        </w:tc>
        <w:tc>
          <w:tcPr>
            <w:tcW w:w="7800" w:type="dxa"/>
            <w:noWrap/>
          </w:tcPr>
          <w:p>
            <w:pPr>
              <w:jc w:val="start"/>
              <w:spacing w:before="0" w:after="0"/>
            </w:pPr>
            <w:r>
              <w:rPr/>
              <w:t xml:space="preserve">Hotel El Greco o Similar</w:t>
            </w:r>
          </w:p>
        </w:tc>
        <w:tc>
          <w:tcPr>
            <w:tcW w:w="7800" w:type="dxa"/>
            <w:noWrap/>
          </w:tcPr>
          <w:p>
            <w:pPr>
              <w:jc w:val="start"/>
              <w:spacing w:before="0" w:after="0"/>
            </w:pPr>
            <w:r>
              <w:rPr/>
              <w:t xml:space="preserve">Hotel Majestic o Similar</w:t>
            </w:r>
          </w:p>
        </w:tc>
      </w:tr>
      <w:tr>
        <w:trPr/>
        <w:tc>
          <w:tcPr>
            <w:tcW w:w="7800" w:type="dxa"/>
            <w:gridSpan w:val="5"/>
            <w:noWrap/>
          </w:tcPr>
          <w:p>
            <w:pPr>
              <w:jc w:val="start"/>
              <w:spacing w:before="0" w:after="0"/>
            </w:pPr>
            <w:r>
              <w:rPr>
                <w:b w:val="1"/>
                <w:bCs w:val="1"/>
              </w:rPr>
              <w:t xml:space="preserve">HOTELES EN MYKONOS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BÁSICO</w:t>
            </w:r>
          </w:p>
        </w:tc>
        <w:tc>
          <w:tcPr>
            <w:tcW w:w="7800" w:type="dxa"/>
            <w:noWrap/>
          </w:tcPr>
          <w:p>
            <w:pPr>
              <w:jc w:val="start"/>
              <w:spacing w:before="0" w:after="0"/>
            </w:pPr>
            <w:r>
              <w:rPr>
                <w:b w:val="1"/>
                <w:bCs w:val="1"/>
              </w:rPr>
              <w:t xml:space="preserve">SELECCIÓN</w:t>
            </w:r>
          </w:p>
        </w:tc>
        <w:tc>
          <w:tcPr>
            <w:tcW w:w="7800" w:type="dxa"/>
            <w:noWrap/>
          </w:tcPr>
          <w:p>
            <w:pPr>
              <w:jc w:val="start"/>
              <w:spacing w:before="0" w:after="0"/>
            </w:pPr>
            <w:r>
              <w:rPr>
                <w:b w:val="1"/>
                <w:bCs w:val="1"/>
              </w:rPr>
              <w:t xml:space="preserve">SUPERIOR</w:t>
            </w:r>
          </w:p>
        </w:tc>
        <w:tc>
          <w:tcPr>
            <w:tcW w:w="7800" w:type="dxa"/>
            <w:noWrap/>
          </w:tcPr>
          <w:p>
            <w:pPr>
              <w:jc w:val="start"/>
              <w:spacing w:before="0" w:after="0"/>
            </w:pPr>
            <w:r>
              <w:rPr>
                <w:b w:val="1"/>
                <w:bCs w:val="1"/>
              </w:rPr>
              <w:t xml:space="preserve">LUJO</w:t>
            </w:r>
          </w:p>
        </w:tc>
      </w:tr>
      <w:tr>
        <w:trPr/>
        <w:tc>
          <w:tcPr>
            <w:tcW w:w="7800" w:type="dxa"/>
            <w:noWrap/>
          </w:tcPr>
          <w:p>
            <w:pPr>
              <w:jc w:val="start"/>
              <w:spacing w:before="0" w:after="0"/>
            </w:pPr>
            <w:r>
              <w:rPr>
                <w:b w:val="1"/>
                <w:bCs w:val="1"/>
              </w:rPr>
              <w:t xml:space="preserve">HOTEL</w:t>
            </w:r>
          </w:p>
        </w:tc>
        <w:tc>
          <w:tcPr>
            <w:tcW w:w="7800" w:type="dxa"/>
            <w:noWrap/>
          </w:tcPr>
          <w:p>
            <w:pPr>
              <w:jc w:val="start"/>
              <w:spacing w:before="0" w:after="0"/>
            </w:pPr>
            <w:r>
              <w:rPr/>
              <w:t xml:space="preserve">Hotel Olia o Similar</w:t>
            </w:r>
          </w:p>
        </w:tc>
        <w:tc>
          <w:tcPr>
            <w:tcW w:w="7800" w:type="dxa"/>
            <w:noWrap/>
          </w:tcPr>
          <w:p>
            <w:pPr>
              <w:jc w:val="start"/>
              <w:spacing w:before="0" w:after="0"/>
            </w:pPr>
            <w:r>
              <w:rPr/>
              <w:t xml:space="preserve">Hotel Paolas Town o Similar</w:t>
            </w:r>
          </w:p>
        </w:tc>
        <w:tc>
          <w:tcPr>
            <w:tcW w:w="7800" w:type="dxa"/>
            <w:noWrap/>
          </w:tcPr>
          <w:p>
            <w:pPr>
              <w:jc w:val="start"/>
              <w:spacing w:before="0" w:after="0"/>
            </w:pPr>
            <w:r>
              <w:rPr/>
              <w:t xml:space="preserve">Hotel Manoulas Beach o Similar</w:t>
            </w:r>
          </w:p>
        </w:tc>
        <w:tc>
          <w:tcPr>
            <w:tcW w:w="7800" w:type="dxa"/>
            <w:noWrap/>
          </w:tcPr>
          <w:p>
            <w:pPr>
              <w:jc w:val="start"/>
              <w:spacing w:before="0" w:after="0"/>
            </w:pPr>
            <w:r>
              <w:rPr/>
              <w:t xml:space="preserve">Hotel Myconian Ambassador o Similar</w:t>
            </w:r>
          </w:p>
        </w:tc>
      </w:tr>
      <w:tr>
        <w:trPr/>
        <w:tc>
          <w:tcPr>
            <w:tcW w:w="7800" w:type="dxa"/>
            <w:gridSpan w:val="5"/>
            <w:noWrap/>
          </w:tcPr>
          <w:p>
            <w:pPr>
              <w:jc w:val="start"/>
              <w:spacing w:before="0" w:after="0"/>
            </w:pPr>
            <w:r>
              <w:rPr>
                <w:b w:val="1"/>
                <w:bCs w:val="1"/>
              </w:rPr>
              <w:t xml:space="preserve">HOTELES EN DELFOS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BÁSICO</w:t>
            </w:r>
          </w:p>
        </w:tc>
        <w:tc>
          <w:tcPr>
            <w:tcW w:w="7800" w:type="dxa"/>
            <w:noWrap/>
          </w:tcPr>
          <w:p>
            <w:pPr>
              <w:jc w:val="start"/>
              <w:spacing w:before="0" w:after="0"/>
            </w:pPr>
            <w:r>
              <w:rPr>
                <w:b w:val="1"/>
                <w:bCs w:val="1"/>
              </w:rPr>
              <w:t xml:space="preserve">SELECCIÓN</w:t>
            </w:r>
          </w:p>
        </w:tc>
        <w:tc>
          <w:tcPr>
            <w:tcW w:w="7800" w:type="dxa"/>
            <w:noWrap/>
          </w:tcPr>
          <w:p>
            <w:pPr>
              <w:jc w:val="start"/>
              <w:spacing w:before="0" w:after="0"/>
            </w:pPr>
            <w:r>
              <w:rPr>
                <w:b w:val="1"/>
                <w:bCs w:val="1"/>
              </w:rPr>
              <w:t xml:space="preserve">SUPERIOR</w:t>
            </w:r>
          </w:p>
        </w:tc>
        <w:tc>
          <w:tcPr>
            <w:tcW w:w="7800" w:type="dxa"/>
            <w:noWrap/>
          </w:tcPr>
          <w:p>
            <w:pPr>
              <w:jc w:val="start"/>
              <w:spacing w:before="0" w:after="0"/>
            </w:pPr>
            <w:r>
              <w:rPr>
                <w:b w:val="1"/>
                <w:bCs w:val="1"/>
              </w:rPr>
              <w:t xml:space="preserve">LUJO</w:t>
            </w:r>
          </w:p>
        </w:tc>
      </w:tr>
      <w:tr>
        <w:trPr/>
        <w:tc>
          <w:tcPr>
            <w:tcW w:w="7800" w:type="dxa"/>
            <w:noWrap/>
          </w:tcPr>
          <w:p>
            <w:pPr>
              <w:jc w:val="start"/>
              <w:spacing w:before="0" w:after="0"/>
            </w:pPr>
            <w:r>
              <w:rPr>
                <w:b w:val="1"/>
                <w:bCs w:val="1"/>
              </w:rPr>
              <w:t xml:space="preserve">HOTEL</w:t>
            </w:r>
          </w:p>
        </w:tc>
        <w:tc>
          <w:tcPr>
            <w:tcW w:w="7800" w:type="dxa"/>
            <w:noWrap/>
          </w:tcPr>
          <w:p>
            <w:pPr>
              <w:jc w:val="start"/>
              <w:spacing w:before="0" w:after="0"/>
            </w:pPr>
            <w:r>
              <w:rPr/>
              <w:t xml:space="preserve">Hotel Hermes o Hotel Arion o Similar</w:t>
            </w:r>
          </w:p>
        </w:tc>
        <w:tc>
          <w:tcPr>
            <w:tcW w:w="7800" w:type="dxa"/>
            <w:gridSpan w:val="3"/>
            <w:noWrap/>
          </w:tcPr>
          <w:p>
            <w:pPr>
              <w:jc w:val="start"/>
              <w:spacing w:before="0" w:after="0"/>
            </w:pPr>
            <w:r>
              <w:rPr/>
              <w:t xml:space="preserve">Hotel Amalia o Hotel Nafsika Palace o Similar</w:t>
            </w:r>
          </w:p>
        </w:tc>
      </w:tr>
      <w:tr>
        <w:trPr/>
        <w:tc>
          <w:tcPr>
            <w:tcW w:w="7800" w:type="dxa"/>
            <w:gridSpan w:val="5"/>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Todos los traslados del Itinerario.</w:t>
      </w:r>
    </w:p>
    <w:p>
      <w:pPr>
        <w:numPr>
          <w:ilvl w:val="1"/>
          <w:numId w:val="2"/>
        </w:numPr>
      </w:pPr>
      <w:r>
        <w:rPr/>
        <w:t xml:space="preserve">4 noches en Atenas en régimen de alojamiento y desayuno.</w:t>
      </w:r>
    </w:p>
    <w:p>
      <w:pPr>
        <w:numPr>
          <w:ilvl w:val="1"/>
          <w:numId w:val="2"/>
        </w:numPr>
      </w:pPr>
      <w:r>
        <w:rPr/>
        <w:t xml:space="preserve">Circuito de dos días/una noche Delfos-Meteora en tour regular, con guía oficial en español y entradas incluidas, en hotel según categoría elegida y régimen de media pensión (bebidas no incluidas).</w:t>
      </w:r>
    </w:p>
    <w:p>
      <w:pPr>
        <w:numPr>
          <w:ilvl w:val="1"/>
          <w:numId w:val="2"/>
        </w:numPr>
      </w:pPr>
      <w:r>
        <w:rPr/>
        <w:t xml:space="preserve">2 noches en Mykonos en régimen de alojamiento y desayuno.</w:t>
      </w:r>
    </w:p>
    <w:p>
      <w:pPr>
        <w:numPr>
          <w:ilvl w:val="1"/>
          <w:numId w:val="2"/>
        </w:numPr>
      </w:pPr>
      <w:r>
        <w:rPr/>
        <w:t xml:space="preserve">2 noches en Santorini en régimen de alojamiento y desayuno.</w:t>
      </w:r>
    </w:p>
    <w:p>
      <w:pPr>
        <w:numPr>
          <w:ilvl w:val="1"/>
          <w:numId w:val="2"/>
        </w:numPr>
      </w:pPr>
      <w:r>
        <w:rPr/>
        <w:t xml:space="preserve">Visita 1/2 Día: panorámica de Atenas y visita al recinto de Acrópolis, con guía oficial en español y entradas.</w:t>
      </w:r>
    </w:p>
    <w:p>
      <w:pPr>
        <w:numPr>
          <w:ilvl w:val="1"/>
          <w:numId w:val="2"/>
        </w:numPr>
      </w:pPr>
      <w:r>
        <w:rPr/>
        <w:t xml:space="preserve">Barco Ferry PIREO/MYKONOS en clase económica numerada. </w:t>
      </w:r>
    </w:p>
    <w:p>
      <w:pPr>
        <w:numPr>
          <w:ilvl w:val="1"/>
          <w:numId w:val="2"/>
        </w:numPr>
      </w:pPr>
      <w:r>
        <w:rPr/>
        <w:t xml:space="preserve">Barco rápido MYKONOS/SANTORINI en clase económica numerada. </w:t>
      </w:r>
    </w:p>
    <w:p>
      <w:pPr>
        <w:numPr>
          <w:ilvl w:val="1"/>
          <w:numId w:val="2"/>
        </w:numPr>
      </w:pPr>
      <w:r>
        <w:rPr/>
        <w:t xml:space="preserve">Barco Ferry SANTORINI/PIREO, en clase económica numerada.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Gastos personales.</w:t>
      </w:r>
    </w:p>
    <w:p>
      <w:pPr>
        <w:numPr>
          <w:ilvl w:val="1"/>
          <w:numId w:val="2"/>
        </w:numPr>
      </w:pPr>
      <w:r>
        <w:rPr/>
        <w:t xml:space="preserve">Tarjeta de asistencia médica.</w:t>
      </w:r>
    </w:p>
    <w:p>
      <w:pPr>
        <w:numPr>
          <w:ilvl w:val="1"/>
          <w:numId w:val="2"/>
        </w:numPr>
      </w:pPr>
      <w:r>
        <w:rPr/>
        <w:t xml:space="preserve">2% fee bancario.</w:t>
      </w:r>
    </w:p>
    <w:p>
      <w:pPr>
        <w:numPr>
          <w:ilvl w:val="1"/>
          <w:numId w:val="2"/>
        </w:numPr>
      </w:pPr>
      <w:r>
        <w:rPr/>
        <w:t xml:space="preserve">Vuelos internacionales y/o domésticos.</w:t>
      </w:r>
    </w:p>
    <w:p>
      <w:pPr>
        <w:numPr>
          <w:ilvl w:val="1"/>
          <w:numId w:val="2"/>
        </w:numPr>
      </w:pPr>
      <w:r>
        <w:rPr/>
        <w:t xml:space="preserve">Ningún servicio no especificado.</w:t>
      </w:r>
    </w:p>
    <w:p>
      <w:pPr>
        <w:numPr>
          <w:ilvl w:val="1"/>
          <w:numId w:val="2"/>
        </w:numPr>
      </w:pPr>
      <w:r>
        <w:rPr/>
        <w:t xml:space="preserve">Excursiones opcionales.</w:t>
      </w:r>
    </w:p>
    <w:p>
      <w:pPr>
        <w:numPr>
          <w:ilvl w:val="1"/>
          <w:numId w:val="2"/>
        </w:numPr>
      </w:pPr>
      <w:r>
        <w:rPr/>
        <w:t xml:space="preserve">Recargos en los hoteles por Early Check in O Late Check out.</w:t>
      </w:r>
    </w:p>
    <w:p>
      <w:pPr>
        <w:numPr>
          <w:ilvl w:val="1"/>
          <w:numId w:val="2"/>
        </w:numPr>
      </w:pPr>
      <w:r>
        <w:rPr/>
        <w:t xml:space="preserve">Propinas para guías, maleteros u otro servicio no mencionado específicamente en el incluye.</w:t>
      </w:r>
    </w:p>
    <w:p>
      <w:pPr>
        <w:numPr>
          <w:ilvl w:val="1"/>
          <w:numId w:val="2"/>
        </w:numPr>
      </w:pPr>
      <w:r>
        <w:rPr/>
        <w:t xml:space="preserve">Extras personales ni cualquier otro servicio no mencionado.</w:t>
      </w:r>
    </w:p>
    <w:p>
      <w:pPr>
        <w:numPr>
          <w:ilvl w:val="1"/>
          <w:numId w:val="2"/>
        </w:numPr>
      </w:pPr>
      <w:r>
        <w:rPr/>
        <w:t xml:space="preserve">Impuestos de resiliencia a la crisis climática según tipo de Alojamiento (Se pagan directamente en el hotel)</w:t>
      </w:r>
    </w:p>
    <w:p>
      <w:pPr>
        <w:numPr>
          <w:ilvl w:val="1"/>
          <w:numId w:val="2"/>
        </w:numPr>
      </w:pPr>
      <w:r>
        <w:rPr/>
        <w:t xml:space="preserve">Hoteles 5*: 10 EUR P/habitación, por noche.</w:t>
      </w:r>
    </w:p>
    <w:p>
      <w:pPr>
        <w:numPr>
          <w:ilvl w:val="1"/>
          <w:numId w:val="2"/>
        </w:numPr>
      </w:pPr>
      <w:r>
        <w:rPr/>
        <w:t xml:space="preserve">Hoteles 4*: 7 EUR P/habitación, por noche.</w:t>
      </w:r>
    </w:p>
    <w:p>
      <w:pPr>
        <w:numPr>
          <w:ilvl w:val="1"/>
          <w:numId w:val="2"/>
        </w:numPr>
      </w:pPr>
      <w:r>
        <w:rPr/>
        <w:t xml:space="preserve">Hoteles 3*: 3 EUR P/habitación, por noche.</w:t>
      </w:r>
    </w:p>
    <w:p>
      <w:pPr>
        <w:numPr>
          <w:ilvl w:val="1"/>
          <w:numId w:val="2"/>
        </w:numPr>
      </w:pPr>
      <w:r>
        <w:rPr/>
        <w:t xml:space="preserve">Hoteles 2* y 1*, pensiones: 1,50 P/habitación por noche.</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A3DED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C3C67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2025-05-09T15:11:50+00:00</dcterms:created>
  <dcterms:modified xsi:type="dcterms:W3CDTF">2025-05-09T15:11:50+00:00</dcterms:modified>
</cp:coreProperties>
</file>

<file path=docProps/custom.xml><?xml version="1.0" encoding="utf-8"?>
<Properties xmlns="http://schemas.openxmlformats.org/officeDocument/2006/custom-properties" xmlns:vt="http://schemas.openxmlformats.org/officeDocument/2006/docPropsVTypes"/>
</file>