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GRECIA DE MINERVA                    </w:t>
      </w:r>
    </w:p>
    <w:p>
      <w:pPr/>
      <w:r>
        <w:rPr>
          <w:rFonts w:ascii="Arial" w:hAnsi="Arial" w:eastAsia="Arial" w:cs="Arial"/>
          <w:color w:val="light"/>
          <w:sz w:val="22"/>
          <w:szCs w:val="22"/>
          <w:b w:val="0"/>
          <w:bCs w:val="0"/>
        </w:rPr>
        <w:t xml:space="preserve">MTC - 18169</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$1040</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Mykonos, </w:t>
      </w:r>
      <w:r>
        <w:rPr/>
        <w:t xml:space="preserve">Santorini,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ATENAS.</w:t>
      </w:r>
      <w:br/>
      <w:r>
        <w:rPr/>
        <w:t xml:space="preserve">Llegada al aeropuerto de Atenas y traslado al hotel elegido. </w:t>
      </w:r>
      <w:r>
        <w:rPr>
          <w:b w:val="1"/>
          <w:bCs w:val="1"/>
        </w:rPr>
        <w:t xml:space="preserve">Alojamiento.</w:t>
      </w:r>
    </w:p>
    <w:p>
      <w:pPr/>
      <w:br/>
      <w:r>
        <w:rPr>
          <w:b w:val="1"/>
          <w:bCs w:val="1"/>
        </w:rPr>
        <w:t xml:space="preserve">DÍA 02 ATENAS – VISITA DE CIUDAD ½ DÍA.</w:t>
      </w:r>
      <w:br/>
      <w:r>
        <w:rPr>
          <w:b w:val="1"/>
          <w:bCs w:val="1"/>
        </w:rPr>
        <w:t xml:space="preserve">Desayuno.</w:t>
      </w:r>
      <w:r>
        <w:rPr/>
        <w:t xml:space="preserve">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Panatinaikon, donde se celebraron los primeros Juegos Olímpicos de la era moderna. Tarde libre. </w:t>
      </w:r>
      <w:r>
        <w:rPr>
          <w:b w:val="1"/>
          <w:bCs w:val="1"/>
        </w:rPr>
        <w:t xml:space="preserve">Alojamiento.</w:t>
      </w:r>
    </w:p>
    <w:p>
      <w:pPr/>
      <w:br/>
      <w:r>
        <w:rPr>
          <w:b w:val="1"/>
          <w:bCs w:val="1"/>
        </w:rPr>
        <w:t xml:space="preserve">DÍA 03 ATENAS – MYKONOS.</w:t>
      </w:r>
      <w:br/>
      <w:r>
        <w:rPr>
          <w:b w:val="1"/>
          <w:bCs w:val="1"/>
        </w:rPr>
        <w:t xml:space="preserve">Desayuno.</w:t>
      </w:r>
      <w:r>
        <w:rPr/>
        <w:t xml:space="preserve"> Traslado al puerto de Pireo para salir hacia Mykonos. Llegada al puerto de Mykonos y traslado al hotel. Tarde libre. </w:t>
      </w:r>
      <w:r>
        <w:rPr>
          <w:b w:val="1"/>
          <w:bCs w:val="1"/>
        </w:rPr>
        <w:t xml:space="preserve">Alojamiento.</w:t>
      </w:r>
    </w:p>
    <w:p>
      <w:pPr/>
      <w:br/>
      <w:r>
        <w:rPr>
          <w:b w:val="1"/>
          <w:bCs w:val="1"/>
        </w:rPr>
        <w:t xml:space="preserve">DIA 04 MYKONOS.</w:t>
      </w:r>
      <w:br/>
      <w:r>
        <w:rPr>
          <w:b w:val="1"/>
          <w:bCs w:val="1"/>
        </w:rPr>
        <w:t xml:space="preserve">Desayuno. </w:t>
      </w:r>
      <w:r>
        <w:rPr/>
        <w:t xml:space="preserve">Día libre para disfrutar de la isla.</w:t>
      </w:r>
      <w:r>
        <w:rPr>
          <w:b w:val="1"/>
          <w:bCs w:val="1"/>
        </w:rPr>
        <w:t xml:space="preserve"> Alojamiento.</w:t>
      </w:r>
    </w:p>
    <w:p>
      <w:pPr/>
      <w:br/>
      <w:r>
        <w:rPr>
          <w:b w:val="1"/>
          <w:bCs w:val="1"/>
        </w:rPr>
        <w:t xml:space="preserve">DIA 05 MYKONOS - SANTORIN.</w:t>
      </w:r>
      <w:br/>
      <w:r>
        <w:rPr>
          <w:b w:val="1"/>
          <w:bCs w:val="1"/>
        </w:rPr>
        <w:t xml:space="preserve">Desayuno.</w:t>
      </w:r>
      <w:r>
        <w:rPr/>
        <w:t xml:space="preserve"> Tiempo libre hasta la hora del traslado al puerto para embarcar y salir hacia Santorini. Llegada a Santorini, traslado al hotel. </w:t>
      </w:r>
      <w:r>
        <w:rPr>
          <w:b w:val="1"/>
          <w:bCs w:val="1"/>
        </w:rPr>
        <w:t xml:space="preserve">Alojamiento.</w:t>
      </w:r>
    </w:p>
    <w:p>
      <w:pPr/>
      <w:br/>
      <w:r>
        <w:rPr>
          <w:b w:val="1"/>
          <w:bCs w:val="1"/>
        </w:rPr>
        <w:t xml:space="preserve">DIA 06 SANTORIN.</w:t>
      </w:r>
      <w:br/>
      <w:r>
        <w:rPr/>
        <w:t xml:space="preserve">Desayuno. Día libre para disfrutar de la isla. </w:t>
      </w:r>
      <w:r>
        <w:rPr>
          <w:b w:val="1"/>
          <w:bCs w:val="1"/>
        </w:rPr>
        <w:t xml:space="preserve">Alojamiento.</w:t>
      </w:r>
    </w:p>
    <w:p>
      <w:pPr/>
      <w:br/>
      <w:r>
        <w:rPr>
          <w:b w:val="1"/>
          <w:bCs w:val="1"/>
        </w:rPr>
        <w:t xml:space="preserve">DIA 07 SANTORINI – ATENAS.</w:t>
      </w:r>
      <w:br/>
      <w:r>
        <w:rPr>
          <w:b w:val="1"/>
          <w:bCs w:val="1"/>
        </w:rPr>
        <w:t xml:space="preserve">Desayuno.</w:t>
      </w:r>
      <w:r>
        <w:rPr/>
        <w:t xml:space="preserve"> Tiempo libre hasta realizar el traslado al aeropuerto. Fin de su estancia en Grecia.</w:t>
      </w:r>
    </w:p>
    <w:p>
      <w:pPr/>
      <w:br/>
      <w:r>
        <w:rPr/>
        <w:t xml:space="preserve">*Posibilidad de extensión de una noche más en Atenas al final del programa, en caso de agregar la noche extra el billete de avión Santorini – Atenas será remplazado por un billete en barco normal en la ruta Santorini Atenas en clase económica numerada. Consultar suplemento con su asesor de ventas*</w:t>
      </w:r>
    </w:p>
    <w:p>
      <w:pPr/>
      <w:br/>
      <w:r>
        <w:rPr>
          <w:b w:val="1"/>
          <w:bCs w:val="1"/>
        </w:rPr>
        <w:t xml:space="preserve">FIN DE NUESTROS SERVICIOS.</w:t>
      </w:r>
    </w:p>
    <w:p>
      <w:pPr/>
      <w:br/>
      <w:r>
        <w:rPr/>
        <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EUROS POR PERSONA </w:t>
            </w:r>
            <w:r>
              <w:rPr>
                <w:color w:val="ffffff"/>
                <w:sz w:val="21"/>
                <w:szCs w:val="21"/>
                <w:b w:val="0"/>
                <w:bCs w:val="0"/>
                <w:shd w:val="clear" w:fill="152441"/>
              </w:rPr>
              <w:t xml:space="preserve">SUJETOS A CAMBIOS SIN PREVIO AVISO Y DISPONIBILIDAD AL MOMENTO DE LA RESERVA. PRECIO BASE A PARTIR DE DOS PASAJEROS</w:t>
            </w:r>
          </w:p>
        </w:tc>
      </w:tr>
      <w:tr>
        <w:trPr/>
        <w:tc>
          <w:tcPr>
            <w:tcW w:w="7800" w:type="dxa"/>
            <w:gridSpan w:val="2"/>
            <w:noWrap/>
          </w:tcPr>
          <w:p>
            <w:pPr>
              <w:jc w:val="start"/>
              <w:spacing w:before="0" w:after="0"/>
            </w:pPr>
            <w:r>
              <w:rPr>
                <w:b w:val="1"/>
                <w:bCs w:val="1"/>
              </w:rPr>
              <w:t xml:space="preserve">LUJO</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t xml:space="preserve"> </w:t>
            </w:r>
          </w:p>
        </w:tc>
        <w:tc>
          <w:tcPr>
            <w:tcW w:w="7800" w:type="dxa"/>
            <w:noWrap/>
          </w:tcPr>
          <w:p>
            <w:pPr>
              <w:jc w:val="start"/>
              <w:spacing w:before="0" w:after="0"/>
            </w:pPr>
            <w:r>
              <w:rPr/>
              <w:t xml:space="preserve">16/10 – 31/10</w:t>
            </w:r>
          </w:p>
        </w:tc>
        <w:tc>
          <w:tcPr>
            <w:tcW w:w="7800" w:type="dxa"/>
            <w:noWrap/>
          </w:tcPr>
          <w:p>
            <w:pPr>
              <w:jc w:val="start"/>
              <w:spacing w:before="0" w:after="0"/>
            </w:pPr>
            <w:r>
              <w:rPr/>
              <w:t xml:space="preserve">EUR 2.600</w:t>
            </w:r>
          </w:p>
        </w:tc>
        <w:tc>
          <w:tcPr>
            <w:tcW w:w="7800" w:type="dxa"/>
            <w:noWrap/>
          </w:tcPr>
          <w:p>
            <w:pPr>
              <w:jc w:val="start"/>
              <w:spacing w:before="0" w:after="0"/>
            </w:pPr>
            <w:r>
              <w:rPr/>
              <w:t xml:space="preserve">EUR 1.800</w:t>
            </w:r>
          </w:p>
        </w:tc>
        <w:tc>
          <w:tcPr>
            <w:tcW w:w="7800" w:type="dxa"/>
            <w:noWrap/>
          </w:tcPr>
          <w:p>
            <w:pPr>
              <w:jc w:val="start"/>
              <w:spacing w:before="0" w:after="0"/>
            </w:pPr>
            <w:r>
              <w:rPr/>
              <w:t xml:space="preserve">EUR 1.573</w:t>
            </w:r>
          </w:p>
        </w:tc>
      </w:tr>
      <w:tr>
        <w:trPr/>
        <w:tc>
          <w:tcPr>
            <w:tcW w:w="7800" w:type="dxa"/>
            <w:noWrap/>
          </w:tcPr>
          <w:p>
            <w:pPr>
              <w:jc w:val="start"/>
              <w:spacing w:before="0" w:after="0"/>
            </w:pPr>
            <w:r>
              <w:rPr/>
              <w:t xml:space="preserve">01/05 – 31/05</w:t>
            </w:r>
          </w:p>
        </w:tc>
        <w:tc>
          <w:tcPr>
            <w:tcW w:w="7800" w:type="dxa"/>
            <w:noWrap/>
          </w:tcPr>
          <w:p>
            <w:pPr>
              <w:jc w:val="start"/>
              <w:spacing w:before="0" w:after="0"/>
            </w:pPr>
            <w:r>
              <w:rPr/>
              <w:t xml:space="preserve">21/09 – 15/10</w:t>
            </w:r>
          </w:p>
        </w:tc>
        <w:tc>
          <w:tcPr>
            <w:tcW w:w="7800" w:type="dxa"/>
            <w:noWrap/>
          </w:tcPr>
          <w:p>
            <w:pPr>
              <w:jc w:val="start"/>
              <w:spacing w:before="0" w:after="0"/>
            </w:pPr>
            <w:r>
              <w:rPr/>
              <w:t xml:space="preserve">EUR 3.187</w:t>
            </w:r>
          </w:p>
        </w:tc>
        <w:tc>
          <w:tcPr>
            <w:tcW w:w="7800" w:type="dxa"/>
            <w:noWrap/>
          </w:tcPr>
          <w:p>
            <w:pPr>
              <w:jc w:val="start"/>
              <w:spacing w:before="0" w:after="0"/>
            </w:pPr>
            <w:r>
              <w:rPr/>
              <w:t xml:space="preserve">EUR 2.027</w:t>
            </w:r>
          </w:p>
        </w:tc>
        <w:tc>
          <w:tcPr>
            <w:tcW w:w="7800" w:type="dxa"/>
            <w:noWrap/>
          </w:tcPr>
          <w:p>
            <w:pPr>
              <w:jc w:val="start"/>
              <w:spacing w:before="0" w:after="0"/>
            </w:pPr>
            <w:r>
              <w:rPr/>
              <w:t xml:space="preserve">EUR 1.733</w:t>
            </w:r>
          </w:p>
        </w:tc>
      </w:tr>
      <w:tr>
        <w:trPr/>
        <w:tc>
          <w:tcPr>
            <w:tcW w:w="7800" w:type="dxa"/>
            <w:gridSpan w:val="2"/>
            <w:noWrap/>
          </w:tcPr>
          <w:p>
            <w:pPr>
              <w:jc w:val="start"/>
              <w:spacing w:before="0" w:after="0"/>
            </w:pPr>
            <w:r>
              <w:rPr/>
              <w:t xml:space="preserve">01/06 – 30/06</w:t>
            </w:r>
          </w:p>
        </w:tc>
        <w:tc>
          <w:tcPr>
            <w:tcW w:w="7800" w:type="dxa"/>
            <w:noWrap/>
          </w:tcPr>
          <w:p>
            <w:pPr>
              <w:jc w:val="start"/>
              <w:spacing w:before="0" w:after="0"/>
            </w:pPr>
            <w:r>
              <w:rPr/>
              <w:t xml:space="preserve">EUR 3.787</w:t>
            </w:r>
          </w:p>
        </w:tc>
        <w:tc>
          <w:tcPr>
            <w:tcW w:w="7800" w:type="dxa"/>
            <w:noWrap/>
          </w:tcPr>
          <w:p>
            <w:pPr>
              <w:jc w:val="start"/>
              <w:spacing w:before="0" w:after="0"/>
            </w:pPr>
            <w:r>
              <w:rPr/>
              <w:t xml:space="preserve">EUR 2.413</w:t>
            </w:r>
          </w:p>
        </w:tc>
        <w:tc>
          <w:tcPr>
            <w:tcW w:w="7800" w:type="dxa"/>
            <w:noWrap/>
          </w:tcPr>
          <w:p>
            <w:pPr>
              <w:jc w:val="start"/>
              <w:spacing w:before="0" w:after="0"/>
            </w:pPr>
            <w:r>
              <w:rPr/>
              <w:t xml:space="preserve">EUR 2.027</w:t>
            </w:r>
          </w:p>
        </w:tc>
      </w:tr>
      <w:tr>
        <w:trPr/>
        <w:tc>
          <w:tcPr>
            <w:tcW w:w="7800" w:type="dxa"/>
            <w:gridSpan w:val="2"/>
            <w:noWrap/>
          </w:tcPr>
          <w:p>
            <w:pPr>
              <w:jc w:val="start"/>
              <w:spacing w:before="0" w:after="0"/>
            </w:pPr>
            <w:r>
              <w:rPr/>
              <w:t xml:space="preserve">01/07 – 20/09</w:t>
            </w:r>
          </w:p>
        </w:tc>
        <w:tc>
          <w:tcPr>
            <w:tcW w:w="7800" w:type="dxa"/>
            <w:noWrap/>
          </w:tcPr>
          <w:p>
            <w:pPr>
              <w:jc w:val="start"/>
              <w:spacing w:before="0" w:after="0"/>
            </w:pPr>
            <w:r>
              <w:rPr/>
              <w:t xml:space="preserve">EUR 4.267</w:t>
            </w:r>
          </w:p>
        </w:tc>
        <w:tc>
          <w:tcPr>
            <w:tcW w:w="7800" w:type="dxa"/>
            <w:noWrap/>
          </w:tcPr>
          <w:p>
            <w:pPr>
              <w:jc w:val="start"/>
              <w:spacing w:before="0" w:after="0"/>
            </w:pPr>
            <w:r>
              <w:rPr/>
              <w:t xml:space="preserve">EUR 2.560</w:t>
            </w:r>
          </w:p>
        </w:tc>
        <w:tc>
          <w:tcPr>
            <w:tcW w:w="7800" w:type="dxa"/>
            <w:noWrap/>
          </w:tcPr>
          <w:p>
            <w:pPr>
              <w:jc w:val="start"/>
              <w:spacing w:before="0" w:after="0"/>
            </w:pPr>
            <w:r>
              <w:rPr/>
              <w:t xml:space="preserve">EUR 2.240</w:t>
            </w:r>
          </w:p>
        </w:tc>
      </w:tr>
      <w:tr>
        <w:trPr/>
        <w:tc>
          <w:tcPr>
            <w:tcW w:w="7800" w:type="dxa"/>
            <w:gridSpan w:val="2"/>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t xml:space="preserve"> </w:t>
            </w:r>
          </w:p>
        </w:tc>
        <w:tc>
          <w:tcPr>
            <w:tcW w:w="7800" w:type="dxa"/>
            <w:noWrap/>
          </w:tcPr>
          <w:p>
            <w:pPr>
              <w:jc w:val="start"/>
              <w:spacing w:before="0" w:after="0"/>
            </w:pPr>
            <w:r>
              <w:rPr/>
              <w:t xml:space="preserve">16/10 – 31/10</w:t>
            </w:r>
          </w:p>
        </w:tc>
        <w:tc>
          <w:tcPr>
            <w:tcW w:w="7800" w:type="dxa"/>
            <w:noWrap/>
          </w:tcPr>
          <w:p>
            <w:pPr>
              <w:jc w:val="start"/>
              <w:spacing w:before="0" w:after="0"/>
            </w:pPr>
            <w:r>
              <w:rPr/>
              <w:t xml:space="preserve">EUR 2.253</w:t>
            </w:r>
          </w:p>
        </w:tc>
        <w:tc>
          <w:tcPr>
            <w:tcW w:w="7800" w:type="dxa"/>
            <w:noWrap/>
          </w:tcPr>
          <w:p>
            <w:pPr>
              <w:jc w:val="start"/>
              <w:spacing w:before="0" w:after="0"/>
            </w:pPr>
            <w:r>
              <w:rPr/>
              <w:t xml:space="preserve">EUR 1.480</w:t>
            </w:r>
          </w:p>
        </w:tc>
        <w:tc>
          <w:tcPr>
            <w:tcW w:w="7800" w:type="dxa"/>
            <w:noWrap/>
          </w:tcPr>
          <w:p>
            <w:pPr>
              <w:jc w:val="start"/>
              <w:spacing w:before="0" w:after="0"/>
            </w:pPr>
            <w:r>
              <w:rPr/>
              <w:t xml:space="preserve">EUR 1.300</w:t>
            </w:r>
          </w:p>
        </w:tc>
      </w:tr>
      <w:tr>
        <w:trPr/>
        <w:tc>
          <w:tcPr>
            <w:tcW w:w="7800" w:type="dxa"/>
            <w:gridSpan w:val="2"/>
            <w:noWrap/>
          </w:tcPr>
          <w:p>
            <w:pPr>
              <w:jc w:val="start"/>
              <w:spacing w:before="0" w:after="0"/>
            </w:pPr>
            <w:r>
              <w:rPr/>
              <w:t xml:space="preserve">01/05 – 31/05</w:t>
            </w:r>
          </w:p>
        </w:tc>
        <w:tc>
          <w:tcPr>
            <w:tcW w:w="7800" w:type="dxa"/>
            <w:noWrap/>
          </w:tcPr>
          <w:p>
            <w:pPr>
              <w:jc w:val="start"/>
              <w:spacing w:before="0" w:after="0"/>
            </w:pPr>
            <w:r>
              <w:rPr/>
              <w:t xml:space="preserve">EUR 2.387</w:t>
            </w:r>
          </w:p>
        </w:tc>
        <w:tc>
          <w:tcPr>
            <w:tcW w:w="7800" w:type="dxa"/>
            <w:noWrap/>
          </w:tcPr>
          <w:p>
            <w:pPr>
              <w:jc w:val="start"/>
              <w:spacing w:before="0" w:after="0"/>
            </w:pPr>
            <w:r>
              <w:rPr/>
              <w:t xml:space="preserve">EUR 1.540</w:t>
            </w:r>
          </w:p>
        </w:tc>
        <w:tc>
          <w:tcPr>
            <w:tcW w:w="7800" w:type="dxa"/>
            <w:noWrap/>
          </w:tcPr>
          <w:p>
            <w:pPr>
              <w:jc w:val="start"/>
              <w:spacing w:before="0" w:after="0"/>
            </w:pPr>
            <w:r>
              <w:rPr/>
              <w:t xml:space="preserve">EUR 1.347</w:t>
            </w:r>
          </w:p>
        </w:tc>
      </w:tr>
      <w:tr>
        <w:trPr/>
        <w:tc>
          <w:tcPr>
            <w:tcW w:w="7800" w:type="dxa"/>
            <w:noWrap/>
          </w:tcPr>
          <w:p>
            <w:pPr>
              <w:jc w:val="start"/>
              <w:spacing w:before="0" w:after="0"/>
            </w:pPr>
            <w:r>
              <w:rPr/>
              <w:t xml:space="preserve">01/06 – 17/07</w:t>
            </w:r>
          </w:p>
        </w:tc>
        <w:tc>
          <w:tcPr>
            <w:tcW w:w="7800" w:type="dxa"/>
            <w:noWrap/>
          </w:tcPr>
          <w:p>
            <w:pPr>
              <w:jc w:val="start"/>
              <w:spacing w:before="0" w:after="0"/>
            </w:pPr>
            <w:r>
              <w:rPr/>
              <w:t xml:space="preserve">21/09 -15/10</w:t>
            </w:r>
          </w:p>
        </w:tc>
        <w:tc>
          <w:tcPr>
            <w:tcW w:w="7800" w:type="dxa"/>
            <w:noWrap/>
          </w:tcPr>
          <w:p>
            <w:pPr>
              <w:jc w:val="start"/>
              <w:spacing w:before="0" w:after="0"/>
            </w:pPr>
            <w:r>
              <w:rPr/>
              <w:t xml:space="preserve">EUR 2.947</w:t>
            </w:r>
          </w:p>
        </w:tc>
        <w:tc>
          <w:tcPr>
            <w:tcW w:w="7800" w:type="dxa"/>
            <w:noWrap/>
          </w:tcPr>
          <w:p>
            <w:pPr>
              <w:jc w:val="start"/>
              <w:spacing w:before="0" w:after="0"/>
            </w:pPr>
            <w:r>
              <w:rPr/>
              <w:t xml:space="preserve">EUR 1.787</w:t>
            </w:r>
          </w:p>
        </w:tc>
        <w:tc>
          <w:tcPr>
            <w:tcW w:w="7800" w:type="dxa"/>
            <w:noWrap/>
          </w:tcPr>
          <w:p>
            <w:pPr>
              <w:jc w:val="start"/>
              <w:spacing w:before="0" w:after="0"/>
            </w:pPr>
            <w:r>
              <w:rPr/>
              <w:t xml:space="preserve">EUR 1.627</w:t>
            </w:r>
          </w:p>
        </w:tc>
      </w:tr>
      <w:tr>
        <w:trPr/>
        <w:tc>
          <w:tcPr>
            <w:tcW w:w="7800" w:type="dxa"/>
            <w:gridSpan w:val="2"/>
            <w:noWrap/>
          </w:tcPr>
          <w:p>
            <w:pPr>
              <w:jc w:val="start"/>
              <w:spacing w:before="0" w:after="0"/>
            </w:pPr>
            <w:r>
              <w:rPr/>
              <w:t xml:space="preserve">18/07 – 20/09</w:t>
            </w:r>
          </w:p>
        </w:tc>
        <w:tc>
          <w:tcPr>
            <w:tcW w:w="7800" w:type="dxa"/>
            <w:noWrap/>
          </w:tcPr>
          <w:p>
            <w:pPr>
              <w:jc w:val="start"/>
              <w:spacing w:before="0" w:after="0"/>
            </w:pPr>
            <w:r>
              <w:rPr/>
              <w:t xml:space="preserve">EUR 3.200</w:t>
            </w:r>
          </w:p>
        </w:tc>
        <w:tc>
          <w:tcPr>
            <w:tcW w:w="7800" w:type="dxa"/>
            <w:noWrap/>
          </w:tcPr>
          <w:p>
            <w:pPr>
              <w:jc w:val="start"/>
              <w:spacing w:before="0" w:after="0"/>
            </w:pPr>
            <w:r>
              <w:rPr/>
              <w:t xml:space="preserve">EUR 1.880</w:t>
            </w:r>
          </w:p>
        </w:tc>
        <w:tc>
          <w:tcPr>
            <w:tcW w:w="7800" w:type="dxa"/>
            <w:noWrap/>
          </w:tcPr>
          <w:p>
            <w:pPr>
              <w:jc w:val="start"/>
              <w:spacing w:before="0" w:after="0"/>
            </w:pPr>
            <w:r>
              <w:rPr/>
              <w:t xml:space="preserve">EUR 1.733</w:t>
            </w:r>
          </w:p>
        </w:tc>
      </w:tr>
      <w:tr>
        <w:trPr/>
        <w:tc>
          <w:tcPr>
            <w:tcW w:w="7800" w:type="dxa"/>
            <w:gridSpan w:val="2"/>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t xml:space="preserve"> </w:t>
            </w:r>
          </w:p>
        </w:tc>
        <w:tc>
          <w:tcPr>
            <w:tcW w:w="7800" w:type="dxa"/>
            <w:noWrap/>
          </w:tcPr>
          <w:p>
            <w:pPr>
              <w:jc w:val="start"/>
              <w:spacing w:before="0" w:after="0"/>
            </w:pPr>
            <w:r>
              <w:rPr/>
              <w:t xml:space="preserve">11/10 – 31/10</w:t>
            </w:r>
          </w:p>
        </w:tc>
        <w:tc>
          <w:tcPr>
            <w:tcW w:w="7800" w:type="dxa"/>
            <w:noWrap/>
          </w:tcPr>
          <w:p>
            <w:pPr>
              <w:jc w:val="start"/>
              <w:spacing w:before="0" w:after="0"/>
            </w:pPr>
            <w:r>
              <w:rPr/>
              <w:t xml:space="preserve">EUR 1.647</w:t>
            </w:r>
          </w:p>
        </w:tc>
        <w:tc>
          <w:tcPr>
            <w:tcW w:w="7800" w:type="dxa"/>
            <w:noWrap/>
          </w:tcPr>
          <w:p>
            <w:pPr>
              <w:jc w:val="start"/>
              <w:spacing w:before="0" w:after="0"/>
            </w:pPr>
            <w:r>
              <w:rPr/>
              <w:t xml:space="preserve">EUR 1.200</w:t>
            </w:r>
          </w:p>
        </w:tc>
        <w:tc>
          <w:tcPr>
            <w:tcW w:w="7800" w:type="dxa"/>
            <w:noWrap/>
          </w:tcPr>
          <w:p>
            <w:pPr>
              <w:jc w:val="start"/>
              <w:spacing w:before="0" w:after="0"/>
            </w:pPr>
            <w:r>
              <w:rPr/>
              <w:t xml:space="preserve">EUR 1.100</w:t>
            </w:r>
          </w:p>
        </w:tc>
      </w:tr>
      <w:tr>
        <w:trPr/>
        <w:tc>
          <w:tcPr>
            <w:tcW w:w="7800" w:type="dxa"/>
            <w:gridSpan w:val="2"/>
            <w:noWrap/>
          </w:tcPr>
          <w:p>
            <w:pPr>
              <w:jc w:val="start"/>
              <w:spacing w:before="0" w:after="0"/>
            </w:pPr>
            <w:r>
              <w:rPr/>
              <w:t xml:space="preserve">01/05 – 31/05</w:t>
            </w:r>
          </w:p>
        </w:tc>
        <w:tc>
          <w:tcPr>
            <w:tcW w:w="7800" w:type="dxa"/>
            <w:noWrap/>
          </w:tcPr>
          <w:p>
            <w:pPr>
              <w:jc w:val="start"/>
              <w:spacing w:before="0" w:after="0"/>
            </w:pPr>
            <w:r>
              <w:rPr/>
              <w:t xml:space="preserve">EUR 2.067</w:t>
            </w:r>
          </w:p>
        </w:tc>
        <w:tc>
          <w:tcPr>
            <w:tcW w:w="7800" w:type="dxa"/>
            <w:noWrap/>
          </w:tcPr>
          <w:p>
            <w:pPr>
              <w:jc w:val="start"/>
              <w:spacing w:before="0" w:after="0"/>
            </w:pPr>
            <w:r>
              <w:rPr/>
              <w:t xml:space="preserve">EUR 1.400</w:t>
            </w:r>
          </w:p>
        </w:tc>
        <w:tc>
          <w:tcPr>
            <w:tcW w:w="7800" w:type="dxa"/>
            <w:noWrap/>
          </w:tcPr>
          <w:p>
            <w:pPr>
              <w:jc w:val="start"/>
              <w:spacing w:before="0" w:after="0"/>
            </w:pPr>
            <w:r>
              <w:rPr/>
              <w:t xml:space="preserve">EUR 1.267</w:t>
            </w:r>
          </w:p>
        </w:tc>
      </w:tr>
      <w:tr>
        <w:trPr/>
        <w:tc>
          <w:tcPr>
            <w:tcW w:w="7800" w:type="dxa"/>
            <w:noWrap/>
          </w:tcPr>
          <w:p>
            <w:pPr>
              <w:jc w:val="start"/>
              <w:spacing w:before="0" w:after="0"/>
            </w:pPr>
            <w:r>
              <w:rPr/>
              <w:t xml:space="preserve">01/06 – 15/07</w:t>
            </w:r>
          </w:p>
        </w:tc>
        <w:tc>
          <w:tcPr>
            <w:tcW w:w="7800" w:type="dxa"/>
            <w:noWrap/>
          </w:tcPr>
          <w:p>
            <w:pPr>
              <w:jc w:val="start"/>
              <w:spacing w:before="0" w:after="0"/>
            </w:pPr>
            <w:r>
              <w:rPr/>
              <w:t xml:space="preserve">01/09 – 10/10</w:t>
            </w:r>
          </w:p>
        </w:tc>
        <w:tc>
          <w:tcPr>
            <w:tcW w:w="7800" w:type="dxa"/>
            <w:noWrap/>
          </w:tcPr>
          <w:p>
            <w:pPr>
              <w:jc w:val="start"/>
              <w:spacing w:before="0" w:after="0"/>
            </w:pPr>
            <w:r>
              <w:rPr/>
              <w:t xml:space="preserve">EUR 2.400</w:t>
            </w:r>
          </w:p>
        </w:tc>
        <w:tc>
          <w:tcPr>
            <w:tcW w:w="7800" w:type="dxa"/>
            <w:noWrap/>
          </w:tcPr>
          <w:p>
            <w:pPr>
              <w:jc w:val="start"/>
              <w:spacing w:before="0" w:after="0"/>
            </w:pPr>
            <w:r>
              <w:rPr/>
              <w:t xml:space="preserve">EUR 1.580</w:t>
            </w:r>
          </w:p>
        </w:tc>
        <w:tc>
          <w:tcPr>
            <w:tcW w:w="7800" w:type="dxa"/>
            <w:noWrap/>
          </w:tcPr>
          <w:p>
            <w:pPr>
              <w:jc w:val="start"/>
              <w:spacing w:before="0" w:after="0"/>
            </w:pPr>
            <w:r>
              <w:rPr/>
              <w:t xml:space="preserve">EUR 1.400</w:t>
            </w:r>
          </w:p>
        </w:tc>
      </w:tr>
      <w:tr>
        <w:trPr/>
        <w:tc>
          <w:tcPr>
            <w:tcW w:w="7800" w:type="dxa"/>
            <w:gridSpan w:val="2"/>
            <w:noWrap/>
          </w:tcPr>
          <w:p>
            <w:pPr>
              <w:jc w:val="start"/>
              <w:spacing w:before="0" w:after="0"/>
            </w:pPr>
            <w:r>
              <w:rPr/>
              <w:t xml:space="preserve">16/07 – 31/08</w:t>
            </w:r>
          </w:p>
        </w:tc>
        <w:tc>
          <w:tcPr>
            <w:tcW w:w="7800" w:type="dxa"/>
            <w:noWrap/>
          </w:tcPr>
          <w:p>
            <w:pPr>
              <w:jc w:val="start"/>
              <w:spacing w:before="0" w:after="0"/>
            </w:pPr>
            <w:r>
              <w:rPr/>
              <w:t xml:space="preserve">EUR 2.613</w:t>
            </w:r>
          </w:p>
        </w:tc>
        <w:tc>
          <w:tcPr>
            <w:tcW w:w="7800" w:type="dxa"/>
            <w:noWrap/>
          </w:tcPr>
          <w:p>
            <w:pPr>
              <w:jc w:val="start"/>
              <w:spacing w:before="0" w:after="0"/>
            </w:pPr>
            <w:r>
              <w:rPr/>
              <w:t xml:space="preserve">EUR 1.667</w:t>
            </w:r>
          </w:p>
        </w:tc>
        <w:tc>
          <w:tcPr>
            <w:tcW w:w="7800" w:type="dxa"/>
            <w:noWrap/>
          </w:tcPr>
          <w:p>
            <w:pPr>
              <w:jc w:val="start"/>
              <w:spacing w:before="0" w:after="0"/>
            </w:pPr>
            <w:r>
              <w:rPr/>
              <w:t xml:space="preserve">EUR 1.453</w:t>
            </w:r>
          </w:p>
        </w:tc>
      </w:tr>
      <w:tr>
        <w:trPr/>
        <w:tc>
          <w:tcPr>
            <w:tcW w:w="7800" w:type="dxa"/>
            <w:gridSpan w:val="2"/>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gridSpan w:val="2"/>
            <w:noWrap/>
          </w:tcPr>
          <w:p>
            <w:pPr>
              <w:jc w:val="start"/>
              <w:spacing w:before="0" w:after="0"/>
            </w:pPr>
            <w:r>
              <w:rPr/>
              <w:t xml:space="preserve"> </w:t>
            </w:r>
          </w:p>
        </w:tc>
        <w:tc>
          <w:tcPr>
            <w:tcW w:w="7800" w:type="dxa"/>
            <w:noWrap/>
          </w:tcPr>
          <w:p>
            <w:pPr>
              <w:jc w:val="start"/>
              <w:spacing w:before="0" w:after="0"/>
            </w:pPr>
            <w:r>
              <w:rPr/>
              <w:t xml:space="preserve">EUR 1.493</w:t>
            </w:r>
          </w:p>
        </w:tc>
        <w:tc>
          <w:tcPr>
            <w:tcW w:w="7800" w:type="dxa"/>
            <w:noWrap/>
          </w:tcPr>
          <w:p>
            <w:pPr>
              <w:jc w:val="start"/>
              <w:spacing w:before="0" w:after="0"/>
            </w:pPr>
            <w:r>
              <w:rPr/>
              <w:t xml:space="preserve">EUR 1.127</w:t>
            </w:r>
          </w:p>
        </w:tc>
        <w:tc>
          <w:tcPr>
            <w:tcW w:w="7800" w:type="dxa"/>
            <w:noWrap/>
          </w:tcPr>
          <w:p>
            <w:pPr>
              <w:jc w:val="start"/>
              <w:spacing w:before="0" w:after="0"/>
            </w:pPr>
            <w:r>
              <w:rPr/>
              <w:t xml:space="preserve">EUR 1.040</w:t>
            </w:r>
          </w:p>
        </w:tc>
      </w:tr>
      <w:tr>
        <w:trPr/>
        <w:tc>
          <w:tcPr>
            <w:tcW w:w="7800" w:type="dxa"/>
            <w:noWrap/>
          </w:tcPr>
          <w:p>
            <w:pPr>
              <w:jc w:val="start"/>
              <w:spacing w:before="0" w:after="0"/>
            </w:pPr>
            <w:r>
              <w:rPr/>
              <w:t xml:space="preserve">01/05 – 31/05</w:t>
            </w:r>
          </w:p>
        </w:tc>
        <w:tc>
          <w:tcPr>
            <w:tcW w:w="7800" w:type="dxa"/>
            <w:noWrap/>
          </w:tcPr>
          <w:p>
            <w:pPr>
              <w:jc w:val="start"/>
              <w:spacing w:before="0" w:after="0"/>
            </w:pPr>
            <w:r>
              <w:rPr/>
              <w:t xml:space="preserve">01/10 – 31/10</w:t>
            </w:r>
          </w:p>
        </w:tc>
        <w:tc>
          <w:tcPr>
            <w:tcW w:w="7800" w:type="dxa"/>
            <w:noWrap/>
          </w:tcPr>
          <w:p>
            <w:pPr>
              <w:jc w:val="start"/>
              <w:spacing w:before="0" w:after="0"/>
            </w:pPr>
            <w:r>
              <w:rPr/>
              <w:t xml:space="preserve">EUR 1.600</w:t>
            </w:r>
          </w:p>
        </w:tc>
        <w:tc>
          <w:tcPr>
            <w:tcW w:w="7800" w:type="dxa"/>
            <w:noWrap/>
          </w:tcPr>
          <w:p>
            <w:pPr>
              <w:jc w:val="start"/>
              <w:spacing w:before="0" w:after="0"/>
            </w:pPr>
            <w:r>
              <w:rPr/>
              <w:t xml:space="preserve">EUR 1.160</w:t>
            </w:r>
          </w:p>
        </w:tc>
        <w:tc>
          <w:tcPr>
            <w:tcW w:w="7800" w:type="dxa"/>
            <w:noWrap/>
          </w:tcPr>
          <w:p>
            <w:pPr>
              <w:jc w:val="start"/>
              <w:spacing w:before="0" w:after="0"/>
            </w:pPr>
            <w:r>
              <w:rPr/>
              <w:t xml:space="preserve">EUR 1.053</w:t>
            </w:r>
          </w:p>
        </w:tc>
      </w:tr>
      <w:tr>
        <w:trPr/>
        <w:tc>
          <w:tcPr>
            <w:tcW w:w="7800" w:type="dxa"/>
            <w:noWrap/>
          </w:tcPr>
          <w:p>
            <w:pPr>
              <w:jc w:val="start"/>
              <w:spacing w:before="0" w:after="0"/>
            </w:pPr>
            <w:r>
              <w:rPr/>
              <w:t xml:space="preserve">01/06 – 30/06</w:t>
            </w:r>
          </w:p>
        </w:tc>
        <w:tc>
          <w:tcPr>
            <w:tcW w:w="7800" w:type="dxa"/>
            <w:noWrap/>
          </w:tcPr>
          <w:p>
            <w:pPr>
              <w:jc w:val="start"/>
              <w:spacing w:before="0" w:after="0"/>
            </w:pPr>
            <w:r>
              <w:rPr/>
              <w:t xml:space="preserve">16/09 – 30/09</w:t>
            </w:r>
          </w:p>
        </w:tc>
        <w:tc>
          <w:tcPr>
            <w:tcW w:w="7800" w:type="dxa"/>
            <w:noWrap/>
          </w:tcPr>
          <w:p>
            <w:pPr>
              <w:jc w:val="start"/>
              <w:spacing w:before="0" w:after="0"/>
            </w:pPr>
            <w:r>
              <w:rPr/>
              <w:t xml:space="preserve">EUR 1.800</w:t>
            </w:r>
          </w:p>
        </w:tc>
        <w:tc>
          <w:tcPr>
            <w:tcW w:w="7800" w:type="dxa"/>
            <w:noWrap/>
          </w:tcPr>
          <w:p>
            <w:pPr>
              <w:jc w:val="start"/>
              <w:spacing w:before="0" w:after="0"/>
            </w:pPr>
            <w:r>
              <w:rPr/>
              <w:t xml:space="preserve">EUR 1.247</w:t>
            </w:r>
          </w:p>
        </w:tc>
        <w:tc>
          <w:tcPr>
            <w:tcW w:w="7800" w:type="dxa"/>
            <w:noWrap/>
          </w:tcPr>
          <w:p>
            <w:pPr>
              <w:jc w:val="start"/>
              <w:spacing w:before="0" w:after="0"/>
            </w:pPr>
            <w:r>
              <w:rPr/>
              <w:t xml:space="preserve">EUR 1.140</w:t>
            </w:r>
          </w:p>
        </w:tc>
      </w:tr>
      <w:tr>
        <w:trPr/>
        <w:tc>
          <w:tcPr>
            <w:tcW w:w="7800" w:type="dxa"/>
            <w:noWrap/>
          </w:tcPr>
          <w:p>
            <w:pPr>
              <w:jc w:val="start"/>
              <w:spacing w:before="0" w:after="0"/>
            </w:pPr>
            <w:r>
              <w:rPr/>
              <w:t xml:space="preserve">01/07 – 20/07</w:t>
            </w:r>
          </w:p>
        </w:tc>
        <w:tc>
          <w:tcPr>
            <w:tcW w:w="7800" w:type="dxa"/>
            <w:noWrap/>
          </w:tcPr>
          <w:p>
            <w:pPr>
              <w:jc w:val="start"/>
              <w:spacing w:before="0" w:after="0"/>
            </w:pPr>
            <w:r>
              <w:rPr/>
              <w:t xml:space="preserve">27/08 – 15/09</w:t>
            </w:r>
          </w:p>
        </w:tc>
        <w:tc>
          <w:tcPr>
            <w:tcW w:w="7800" w:type="dxa"/>
            <w:noWrap/>
          </w:tcPr>
          <w:p>
            <w:pPr>
              <w:jc w:val="start"/>
              <w:spacing w:before="0" w:after="0"/>
            </w:pPr>
            <w:r>
              <w:rPr/>
              <w:t xml:space="preserve">EUR 2.027</w:t>
            </w:r>
          </w:p>
        </w:tc>
        <w:tc>
          <w:tcPr>
            <w:tcW w:w="7800" w:type="dxa"/>
            <w:noWrap/>
          </w:tcPr>
          <w:p>
            <w:pPr>
              <w:jc w:val="start"/>
              <w:spacing w:before="0" w:after="0"/>
            </w:pPr>
            <w:r>
              <w:rPr/>
              <w:t xml:space="preserve">EUR 1.333</w:t>
            </w:r>
          </w:p>
        </w:tc>
        <w:tc>
          <w:tcPr>
            <w:tcW w:w="7800" w:type="dxa"/>
            <w:noWrap/>
          </w:tcPr>
          <w:p>
            <w:pPr>
              <w:jc w:val="start"/>
              <w:spacing w:before="0" w:after="0"/>
            </w:pPr>
            <w:r>
              <w:rPr/>
              <w:t xml:space="preserve">EUR 1.247</w:t>
            </w:r>
          </w:p>
        </w:tc>
      </w:tr>
      <w:tr>
        <w:trPr/>
        <w:tc>
          <w:tcPr>
            <w:tcW w:w="7800" w:type="dxa"/>
            <w:gridSpan w:val="2"/>
            <w:noWrap/>
          </w:tcPr>
          <w:p>
            <w:pPr>
              <w:jc w:val="start"/>
              <w:spacing w:before="0" w:after="0"/>
            </w:pPr>
            <w:r>
              <w:rPr/>
              <w:t xml:space="preserve">21/07 – 26/08</w:t>
            </w:r>
          </w:p>
        </w:tc>
        <w:tc>
          <w:tcPr>
            <w:tcW w:w="7800" w:type="dxa"/>
            <w:noWrap/>
          </w:tcPr>
          <w:p>
            <w:pPr>
              <w:jc w:val="start"/>
              <w:spacing w:before="0" w:after="0"/>
            </w:pPr>
            <w:r>
              <w:rPr/>
              <w:t xml:space="preserve">EUR 2.200</w:t>
            </w:r>
          </w:p>
        </w:tc>
        <w:tc>
          <w:tcPr>
            <w:tcW w:w="7800" w:type="dxa"/>
            <w:noWrap/>
          </w:tcPr>
          <w:p>
            <w:pPr>
              <w:jc w:val="start"/>
              <w:spacing w:before="0" w:after="0"/>
            </w:pPr>
            <w:r>
              <w:rPr/>
              <w:t xml:space="preserve">EUR 1.433</w:t>
            </w:r>
          </w:p>
        </w:tc>
        <w:tc>
          <w:tcPr>
            <w:tcW w:w="7800" w:type="dxa"/>
            <w:noWrap/>
          </w:tcPr>
          <w:p>
            <w:pPr>
              <w:jc w:val="start"/>
              <w:spacing w:before="0" w:after="0"/>
            </w:pPr>
            <w:r>
              <w:rPr/>
              <w:t xml:space="preserve">EUR 1.307</w:t>
            </w:r>
          </w:p>
        </w:tc>
      </w:tr>
      <w:tr>
        <w:trPr/>
        <w:tc>
          <w:tcPr>
            <w:tcW w:w="7800" w:type="dxa"/>
            <w:gridSpan w:val="5"/>
            <w:noWrap/>
          </w:tcPr>
          <w:p>
            <w:pPr>
              <w:jc w:val="start"/>
              <w:spacing w:before="0" w:after="0"/>
            </w:pPr>
            <w:r>
              <w:rPr/>
              <w:t xml:space="preserve"> </w:t>
            </w:r>
          </w:p>
        </w:tc>
      </w:tr>
    </w:tbl>
    <w:p>
      <w:pPr>
        <w:spacing w:before="0" w:after="0"/>
      </w:pPr>
      <w:r>
        <w:rPr>
          <w:b w:val="1"/>
          <w:bCs w:val="1"/>
        </w:rPr>
        <w:t xml:space="preserve">TARIFAS VIGENTES HASTA 30 DE DICIEMBRE 2025</w:t>
      </w:r>
    </w:p>
    <w:p>
      <w:pPr>
        <w:spacing w:before="0" w:after="0"/>
      </w:pPr>
      <w:r>
        <w:rPr>
          <w:b w:val="1"/>
          <w:bCs w:val="1"/>
        </w:rPr>
        <w:t xml:space="preserve">TARIFA:</w:t>
      </w:r>
      <w:r>
        <w:rPr/>
        <w:t xml:space="preserve"> 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
      </w:r>
    </w:p>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EXCURSIONES OPCIONALES</w:t>
            </w:r>
          </w:p>
          <w:p>
            <w:pPr>
              <w:jc w:val="start"/>
              <w:spacing w:before="0" w:after="0"/>
            </w:pPr>
            <w:r>
              <w:rPr/>
              <w:t xml:space="preserve">PRECIO POR PERSONA EN EUROS</w:t>
            </w:r>
          </w:p>
        </w:tc>
      </w:tr>
      <w:tr>
        <w:trPr/>
        <w:tc>
          <w:tcPr>
            <w:tcW w:w="7800" w:type="dxa"/>
            <w:noWrap/>
          </w:tcPr>
          <w:p>
            <w:pPr>
              <w:jc w:val="start"/>
              <w:spacing w:before="0" w:after="0"/>
            </w:pPr>
            <w:r>
              <w:rPr>
                <w:b w:val="1"/>
                <w:bCs w:val="1"/>
              </w:rPr>
              <w:t xml:space="preserve">Mykonos: Delos-Reñía Sailing Cruise:</w:t>
            </w:r>
            <w:r>
              <w:rPr/>
              <w:t xml:space="preserve"> Crucero de 7 horas, con traslados y almuerzo incluido (no incluido la entrada en Delos y toallas)</w:t>
            </w:r>
          </w:p>
        </w:tc>
        <w:tc>
          <w:tcPr>
            <w:tcW w:w="7800" w:type="dxa"/>
            <w:noWrap/>
          </w:tcPr>
          <w:p>
            <w:pPr>
              <w:jc w:val="start"/>
              <w:spacing w:before="0" w:after="0"/>
            </w:pPr>
            <w:r>
              <w:rPr>
                <w:b w:val="1"/>
                <w:bCs w:val="1"/>
              </w:rPr>
              <w:t xml:space="preserve">169 €</w:t>
            </w:r>
          </w:p>
          <w:p>
            <w:pPr>
              <w:jc w:val="start"/>
              <w:spacing w:before="0" w:after="0"/>
            </w:pPr>
            <w:r>
              <w:rPr>
                <w:b w:val="1"/>
                <w:bCs w:val="1"/>
              </w:rPr>
              <w:t xml:space="preserve">POR PAX</w:t>
            </w:r>
          </w:p>
        </w:tc>
      </w:tr>
      <w:tr>
        <w:trPr/>
        <w:tc>
          <w:tcPr>
            <w:tcW w:w="7800" w:type="dxa"/>
            <w:noWrap/>
          </w:tcPr>
          <w:p>
            <w:pPr>
              <w:jc w:val="start"/>
              <w:spacing w:before="0" w:after="0"/>
            </w:pPr>
            <w:r>
              <w:rPr>
                <w:b w:val="1"/>
                <w:bCs w:val="1"/>
              </w:rPr>
              <w:t xml:space="preserve">Santorini: Red Cruise (5 horas) - Dos opciones: </w:t>
            </w:r>
            <w:r>
              <w:rPr/>
              <w:t xml:space="preserve">Morning o Puesta del Sol con traslados, comida y bebidas a bordo</w:t>
            </w:r>
          </w:p>
        </w:tc>
        <w:tc>
          <w:tcPr>
            <w:tcW w:w="7800" w:type="dxa"/>
            <w:noWrap/>
          </w:tcPr>
          <w:p>
            <w:pPr>
              <w:jc w:val="start"/>
              <w:spacing w:before="0" w:after="0"/>
            </w:pPr>
            <w:r>
              <w:rPr>
                <w:b w:val="1"/>
                <w:bCs w:val="1"/>
              </w:rPr>
              <w:t xml:space="preserve">138 €</w:t>
            </w:r>
          </w:p>
          <w:p>
            <w:pPr>
              <w:jc w:val="start"/>
              <w:spacing w:before="0" w:after="0"/>
            </w:pPr>
            <w:r>
              <w:rPr>
                <w:b w:val="1"/>
                <w:bCs w:val="1"/>
              </w:rPr>
              <w:t xml:space="preserve">POR PAX</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SUPLEMENTO</w:t>
            </w:r>
          </w:p>
          <w:p>
            <w:pPr>
              <w:jc w:val="start"/>
              <w:spacing w:before="0" w:after="0"/>
            </w:pPr>
            <w:r>
              <w:rPr/>
              <w:t xml:space="preserve">PRECIO POR PERSONA EN EUROS</w:t>
            </w:r>
          </w:p>
        </w:tc>
      </w:tr>
      <w:tr>
        <w:trPr/>
        <w:tc>
          <w:tcPr>
            <w:tcW w:w="7800" w:type="dxa"/>
            <w:noWrap/>
          </w:tcPr>
          <w:p>
            <w:pPr>
              <w:jc w:val="start"/>
              <w:spacing w:before="0" w:after="0"/>
            </w:pPr>
            <w:r>
              <w:rPr/>
              <w:t xml:space="preserve">Barcos rápidos en clase económica numerada</w:t>
            </w:r>
          </w:p>
        </w:tc>
        <w:tc>
          <w:tcPr>
            <w:tcW w:w="7800" w:type="dxa"/>
            <w:noWrap/>
          </w:tcPr>
          <w:p>
            <w:pPr>
              <w:jc w:val="start"/>
              <w:spacing w:before="0" w:after="0"/>
            </w:pPr>
            <w:r>
              <w:rPr>
                <w:b w:val="1"/>
                <w:bCs w:val="1"/>
              </w:rPr>
              <w:t xml:space="preserve">39 €</w:t>
            </w:r>
          </w:p>
          <w:p>
            <w:pPr>
              <w:jc w:val="start"/>
              <w:spacing w:before="0" w:after="0"/>
            </w:pPr>
            <w:r>
              <w:rPr>
                <w:b w:val="1"/>
                <w:bCs w:val="1"/>
              </w:rPr>
              <w:t xml:space="preserve">POR PAX</w:t>
            </w:r>
          </w:p>
        </w:tc>
      </w:tr>
      <w:tr>
        <w:trPr/>
        <w:tc>
          <w:tcPr>
            <w:tcW w:w="7800" w:type="dxa"/>
            <w:noWrap/>
          </w:tcPr>
          <w:p>
            <w:pPr>
              <w:jc w:val="start"/>
              <w:spacing w:before="0" w:after="0"/>
            </w:pPr>
            <w:r>
              <w:rPr/>
              <w:t xml:space="preserve">Barco Santorini – Atenas Rápido</w:t>
            </w:r>
          </w:p>
        </w:tc>
        <w:tc>
          <w:tcPr>
            <w:tcW w:w="7800" w:type="dxa"/>
            <w:noWrap/>
          </w:tcPr>
          <w:p>
            <w:pPr>
              <w:jc w:val="start"/>
              <w:spacing w:before="0" w:after="0"/>
            </w:pPr>
            <w:r>
              <w:rPr>
                <w:b w:val="1"/>
                <w:bCs w:val="1"/>
              </w:rPr>
              <w:t xml:space="preserve">33 €</w:t>
            </w:r>
          </w:p>
          <w:p>
            <w:pPr>
              <w:jc w:val="start"/>
              <w:spacing w:before="0" w:after="0"/>
            </w:pPr>
            <w:r>
              <w:rPr>
                <w:b w:val="1"/>
                <w:bCs w:val="1"/>
              </w:rPr>
              <w:t xml:space="preserve">POR PAX</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HOTELES EN ATENAS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Crystal City o Similar</w:t>
            </w:r>
          </w:p>
        </w:tc>
        <w:tc>
          <w:tcPr>
            <w:tcW w:w="7800" w:type="dxa"/>
            <w:noWrap/>
          </w:tcPr>
          <w:p>
            <w:pPr>
              <w:jc w:val="start"/>
              <w:spacing w:before="0" w:after="0"/>
            </w:pPr>
            <w:r>
              <w:rPr/>
              <w:t xml:space="preserve">Hotel Polis Grand o Similar</w:t>
            </w:r>
          </w:p>
        </w:tc>
        <w:tc>
          <w:tcPr>
            <w:tcW w:w="7800" w:type="dxa"/>
            <w:noWrap/>
          </w:tcPr>
          <w:p>
            <w:pPr>
              <w:jc w:val="start"/>
              <w:spacing w:before="0" w:after="0"/>
            </w:pPr>
            <w:r>
              <w:rPr/>
              <w:t xml:space="preserve">Hotel Wyndham o Similar</w:t>
            </w:r>
          </w:p>
        </w:tc>
        <w:tc>
          <w:tcPr>
            <w:tcW w:w="7800" w:type="dxa"/>
            <w:noWrap/>
          </w:tcPr>
          <w:p>
            <w:pPr>
              <w:jc w:val="start"/>
              <w:spacing w:before="0" w:after="0"/>
            </w:pPr>
            <w:r>
              <w:rPr/>
              <w:t xml:space="preserve">Hotel Athens Plaza o Similar</w:t>
            </w:r>
          </w:p>
        </w:tc>
      </w:tr>
      <w:tr>
        <w:trPr/>
        <w:tc>
          <w:tcPr>
            <w:tcW w:w="7800" w:type="dxa"/>
            <w:gridSpan w:val="5"/>
            <w:noWrap/>
          </w:tcPr>
          <w:p>
            <w:pPr>
              <w:jc w:val="start"/>
              <w:spacing w:before="0" w:after="0"/>
            </w:pPr>
            <w:r>
              <w:rPr>
                <w:b w:val="1"/>
                <w:bCs w:val="1"/>
              </w:rPr>
              <w:t xml:space="preserve">HOTELES EN SANTORINI</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Kamari Beach o Similar</w:t>
            </w:r>
          </w:p>
        </w:tc>
        <w:tc>
          <w:tcPr>
            <w:tcW w:w="7800" w:type="dxa"/>
            <w:noWrap/>
          </w:tcPr>
          <w:p>
            <w:pPr>
              <w:jc w:val="start"/>
              <w:spacing w:before="0" w:after="0"/>
            </w:pPr>
            <w:r>
              <w:rPr/>
              <w:t xml:space="preserve">Hotel Aegean Plaza o Similar</w:t>
            </w:r>
          </w:p>
        </w:tc>
        <w:tc>
          <w:tcPr>
            <w:tcW w:w="7800" w:type="dxa"/>
            <w:noWrap/>
          </w:tcPr>
          <w:p>
            <w:pPr>
              <w:jc w:val="start"/>
              <w:spacing w:before="0" w:after="0"/>
            </w:pPr>
            <w:r>
              <w:rPr/>
              <w:t xml:space="preserve">Hotel El Greco o Similar</w:t>
            </w:r>
          </w:p>
        </w:tc>
        <w:tc>
          <w:tcPr>
            <w:tcW w:w="7800" w:type="dxa"/>
            <w:noWrap/>
          </w:tcPr>
          <w:p>
            <w:pPr>
              <w:jc w:val="start"/>
              <w:spacing w:before="0" w:after="0"/>
            </w:pPr>
            <w:r>
              <w:rPr/>
              <w:t xml:space="preserve">Hotel Majestic o Similar</w:t>
            </w:r>
          </w:p>
        </w:tc>
      </w:tr>
      <w:tr>
        <w:trPr/>
        <w:tc>
          <w:tcPr>
            <w:tcW w:w="7800" w:type="dxa"/>
            <w:gridSpan w:val="5"/>
            <w:noWrap/>
          </w:tcPr>
          <w:p>
            <w:pPr>
              <w:jc w:val="start"/>
              <w:spacing w:before="0" w:after="0"/>
            </w:pPr>
            <w:r>
              <w:rPr>
                <w:b w:val="1"/>
                <w:bCs w:val="1"/>
              </w:rPr>
              <w:t xml:space="preserve">HOTELES EN MYKONOS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Olia o Similar</w:t>
            </w:r>
          </w:p>
        </w:tc>
        <w:tc>
          <w:tcPr>
            <w:tcW w:w="7800" w:type="dxa"/>
            <w:noWrap/>
          </w:tcPr>
          <w:p>
            <w:pPr>
              <w:jc w:val="start"/>
              <w:spacing w:before="0" w:after="0"/>
            </w:pPr>
            <w:r>
              <w:rPr/>
              <w:t xml:space="preserve">Hotel Paolas Town o Similar</w:t>
            </w:r>
          </w:p>
        </w:tc>
        <w:tc>
          <w:tcPr>
            <w:tcW w:w="7800" w:type="dxa"/>
            <w:noWrap/>
          </w:tcPr>
          <w:p>
            <w:pPr>
              <w:jc w:val="start"/>
              <w:spacing w:before="0" w:after="0"/>
            </w:pPr>
            <w:r>
              <w:rPr/>
              <w:t xml:space="preserve">Hotel Manoulas Beach o Similar</w:t>
            </w:r>
          </w:p>
        </w:tc>
        <w:tc>
          <w:tcPr>
            <w:tcW w:w="7800" w:type="dxa"/>
            <w:noWrap/>
          </w:tcPr>
          <w:p>
            <w:pPr>
              <w:jc w:val="start"/>
              <w:spacing w:before="0" w:after="0"/>
            </w:pPr>
            <w:r>
              <w:rPr/>
              <w:t xml:space="preserve">Hotel Myconian Ambassador o Similar</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Todos los traslados del Itinerario.</w:t>
      </w:r>
    </w:p>
    <w:p>
      <w:pPr>
        <w:numPr>
          <w:ilvl w:val="1"/>
          <w:numId w:val="2"/>
        </w:numPr>
      </w:pPr>
      <w:r>
        <w:rPr/>
        <w:t xml:space="preserve">2 noches en Atenas en régimen de alojamiento y desayuno.</w:t>
      </w:r>
    </w:p>
    <w:p>
      <w:pPr>
        <w:numPr>
          <w:ilvl w:val="1"/>
          <w:numId w:val="2"/>
        </w:numPr>
      </w:pPr>
      <w:r>
        <w:rPr/>
        <w:t xml:space="preserve">2 noches en Mykonos en régimen de alojamiento y desayuno.</w:t>
      </w:r>
    </w:p>
    <w:p>
      <w:pPr>
        <w:numPr>
          <w:ilvl w:val="1"/>
          <w:numId w:val="2"/>
        </w:numPr>
      </w:pPr>
      <w:r>
        <w:rPr/>
        <w:t xml:space="preserve">2 noches en Santorini en régimen de alojamiento y desayuno.</w:t>
      </w:r>
    </w:p>
    <w:p>
      <w:pPr>
        <w:numPr>
          <w:ilvl w:val="1"/>
          <w:numId w:val="2"/>
        </w:numPr>
      </w:pPr>
      <w:r>
        <w:rPr/>
        <w:t xml:space="preserve">Visita 1/2 Día: panorámica de Atenas y visita al recinto de Acrópolis, con guía oficial en español y entradas.</w:t>
      </w:r>
    </w:p>
    <w:p>
      <w:pPr>
        <w:numPr>
          <w:ilvl w:val="1"/>
          <w:numId w:val="2"/>
        </w:numPr>
      </w:pPr>
      <w:r>
        <w:rPr/>
        <w:t xml:space="preserve">Ferry PIREO/MYKONOS en clase económica numerada.</w:t>
      </w:r>
    </w:p>
    <w:p>
      <w:pPr>
        <w:numPr>
          <w:ilvl w:val="1"/>
          <w:numId w:val="2"/>
        </w:numPr>
      </w:pPr>
      <w:r>
        <w:rPr/>
        <w:t xml:space="preserve">Barco rápido MYKONOS/SANTORINI en clase económica numerada.</w:t>
      </w:r>
    </w:p>
    <w:p>
      <w:pPr>
        <w:numPr>
          <w:ilvl w:val="1"/>
          <w:numId w:val="2"/>
        </w:numPr>
      </w:pPr>
      <w:r>
        <w:rPr/>
        <w:t xml:space="preserve">Billete de avión: Santorini – Atenas, en clase económica. *</w:t>
      </w:r>
    </w:p>
    <w:p>
      <w:pPr>
        <w:numPr>
          <w:ilvl w:val="1"/>
          <w:numId w:val="2"/>
        </w:numPr>
      </w:pPr>
      <w:r>
        <w:rPr/>
        <w:t xml:space="preserve"/>
      </w:r>
    </w:p>
    <w:p>
      <w:pPr>
        <w:numPr>
          <w:ilvl w:val="1"/>
          <w:numId w:val="2"/>
        </w:numPr>
      </w:pPr>
      <w:r>
        <w:rPr/>
        <w:t xml:space="preserve">*El precio del pasaje aéreo incluido en el paquete está calculado con el valor de: 150,00 € p/p. En caso de aumento de su precio, el coste total del paquete incrementara correspondientemente. También en caso de que el precio del billete aéreo será inferior, la diferencia se descontara.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y/o domésticos.</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para guías, maleteros u otro servicio no mencionado específicamente en el incluye.</w:t>
      </w:r>
    </w:p>
    <w:p>
      <w:pPr>
        <w:numPr>
          <w:ilvl w:val="1"/>
          <w:numId w:val="2"/>
        </w:numPr>
      </w:pPr>
      <w:r>
        <w:rPr/>
        <w:t xml:space="preserve">Extras personales ni cualquier otro servicio no mencionado.</w:t>
      </w:r>
    </w:p>
    <w:p>
      <w:pPr>
        <w:numPr>
          <w:ilvl w:val="1"/>
          <w:numId w:val="2"/>
        </w:numPr>
      </w:pPr>
      <w:r>
        <w:rPr/>
        <w:t xml:space="preserve">Impuestos de resiliencia a la crisis climática según tipo de Alojamiento (Se pagan directamente en el hotel)</w:t>
      </w:r>
    </w:p>
    <w:p>
      <w:pPr>
        <w:numPr>
          <w:ilvl w:val="1"/>
          <w:numId w:val="2"/>
        </w:numPr>
      </w:pPr>
      <w:r>
        <w:rPr/>
        <w:t xml:space="preserve">Hoteles 5*: 10 EUR P/habitación, por noche.</w:t>
      </w:r>
    </w:p>
    <w:p>
      <w:pPr>
        <w:numPr>
          <w:ilvl w:val="1"/>
          <w:numId w:val="2"/>
        </w:numPr>
      </w:pPr>
      <w:r>
        <w:rPr/>
        <w:t xml:space="preserve">Hoteles 4*: 7 EUR P/habitación, por noche.</w:t>
      </w:r>
    </w:p>
    <w:p>
      <w:pPr>
        <w:numPr>
          <w:ilvl w:val="1"/>
          <w:numId w:val="2"/>
        </w:numPr>
      </w:pPr>
      <w:r>
        <w:rPr/>
        <w:t xml:space="preserve">Hoteles 3*: 3 EUR P/habitación, por noche.</w:t>
      </w:r>
    </w:p>
    <w:p>
      <w:pPr>
        <w:numPr>
          <w:ilvl w:val="1"/>
          <w:numId w:val="2"/>
        </w:numPr>
      </w:pPr>
      <w:r>
        <w:rPr/>
        <w:t xml:space="preserve">Hoteles 2* y 1*, pensiones: 1,50 P/habitación por noche.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1CB6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01CDC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2025-05-09T15:22:35+00:00</dcterms:created>
  <dcterms:modified xsi:type="dcterms:W3CDTF">2025-05-09T15:22:35+00:00</dcterms:modified>
</cp:coreProperties>
</file>

<file path=docProps/custom.xml><?xml version="1.0" encoding="utf-8"?>
<Properties xmlns="http://schemas.openxmlformats.org/officeDocument/2006/custom-properties" xmlns:vt="http://schemas.openxmlformats.org/officeDocument/2006/docPropsVTypes"/>
</file>