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SELENE                    </w:t>
      </w:r>
    </w:p>
    <w:p>
      <w:pPr/>
      <w:r>
        <w:rPr>
          <w:rFonts w:ascii="Arial" w:hAnsi="Arial" w:eastAsia="Arial" w:cs="Arial"/>
          <w:color w:val="light"/>
          <w:sz w:val="22"/>
          <w:szCs w:val="22"/>
          <w:b w:val="0"/>
          <w:bCs w:val="0"/>
        </w:rPr>
        <w:t xml:space="preserve">MTC - 18168</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ATENAS.</w:t>
      </w:r>
      <w:br/>
      <w:r>
        <w:rPr/>
        <w:t xml:space="preserve">Llegada al aeropuerto de Atenas y traslado al hotel elegido. </w:t>
      </w:r>
      <w:r>
        <w:rPr>
          <w:b w:val="1"/>
          <w:bCs w:val="1"/>
        </w:rPr>
        <w:t xml:space="preserve">Alojamiento.</w:t>
      </w:r>
    </w:p>
    <w:p>
      <w:pPr/>
      <w:br/>
      <w:r>
        <w:rPr>
          <w:b w:val="1"/>
          <w:bCs w:val="1"/>
        </w:rPr>
        <w:t xml:space="preserve">DÍA 02 </w:t>
      </w:r>
      <w:br/>
      <w:r>
        <w:rPr>
          <w:b w:val="1"/>
          <w:bCs w:val="1"/>
        </w:rPr>
        <w:t xml:space="preserve">ATENAS – VISITA DE CIUDAD ½ DÍA.</w:t>
      </w:r>
      <w:br/>
      <w:r>
        <w:rPr>
          <w:b w:val="1"/>
          <w:bCs w:val="1"/>
        </w:rPr>
        <w:t xml:space="preserve">Desayuno</w:t>
      </w:r>
      <w:r>
        <w:rPr/>
        <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w:t>
      </w:r>
      <w:br/>
      <w:r>
        <w:rPr>
          <w:b w:val="1"/>
          <w:bCs w:val="1"/>
        </w:rPr>
        <w:t xml:space="preserve">ATENAS – MYKONOS.</w:t>
      </w:r>
      <w:br/>
      <w:r>
        <w:rPr>
          <w:b w:val="1"/>
          <w:bCs w:val="1"/>
        </w:rPr>
        <w:t xml:space="preserve">Desayuno. </w:t>
      </w:r>
      <w:r>
        <w:rPr/>
        <w:t xml:space="preserve">Traslado al puerto de Pireo para salir hacia Mykonos. Llegada al puerto de Mykonos y traslado al hotel. Tarde libre.</w:t>
      </w:r>
      <w:r>
        <w:rPr>
          <w:b w:val="1"/>
          <w:bCs w:val="1"/>
        </w:rPr>
        <w:t xml:space="preserve"> Alojamiento.</w:t>
      </w:r>
      <w:br/>
      <w:br/>
      <w:r>
        <w:rPr>
          <w:b w:val="1"/>
          <w:bCs w:val="1"/>
        </w:rPr>
        <w:t xml:space="preserve">DIA 04</w:t>
      </w:r>
      <w:br/>
      <w:r>
        <w:rPr>
          <w:b w:val="1"/>
          <w:bCs w:val="1"/>
        </w:rPr>
        <w:t xml:space="preserve">MYKONOS.</w:t>
      </w:r>
      <w:br/>
      <w:r>
        <w:rPr>
          <w:b w:val="1"/>
          <w:bCs w:val="1"/>
        </w:rPr>
        <w:t xml:space="preserve">Desayuno.</w:t>
      </w:r>
      <w:r>
        <w:rPr/>
        <w:t xml:space="preserve"> Días libres para disfrutar de la isla. *Tour Opcional: Mykonos, Delos-Renos Sailing Cruise – Un paseo con crucero por Delos y Reñía*.</w:t>
      </w:r>
      <w:r>
        <w:rPr>
          <w:b w:val="1"/>
          <w:bCs w:val="1"/>
        </w:rPr>
        <w:t xml:space="preserve"> Alojamiento.</w:t>
      </w:r>
    </w:p>
    <w:p>
      <w:pPr/>
      <w:br/>
      <w:r>
        <w:rPr>
          <w:b w:val="1"/>
          <w:bCs w:val="1"/>
        </w:rPr>
        <w:t xml:space="preserve">DIA 05 </w:t>
      </w:r>
      <w:br/>
      <w:r>
        <w:rPr>
          <w:b w:val="1"/>
          <w:bCs w:val="1"/>
        </w:rPr>
        <w:t xml:space="preserve">MYKONOS.</w:t>
      </w:r>
      <w:br/>
      <w:r>
        <w:rPr>
          <w:b w:val="1"/>
          <w:bCs w:val="1"/>
        </w:rPr>
        <w:t xml:space="preserve">Desayuno.</w:t>
      </w:r>
      <w:r>
        <w:rPr/>
        <w:t xml:space="preserve"> Días libres para disfrutar de la isla. *Tour Opcional: Mykonos, Delos-Renos Sailing Cruise – Un paseo con crucero por Delos y Reñía*</w:t>
      </w:r>
      <w:r>
        <w:rPr>
          <w:b w:val="1"/>
          <w:bCs w:val="1"/>
        </w:rPr>
        <w:t xml:space="preserve">. Alojamiento.</w:t>
      </w:r>
      <w:br/>
      <w:br/>
      <w:r>
        <w:rPr>
          <w:b w:val="1"/>
          <w:bCs w:val="1"/>
        </w:rPr>
        <w:t xml:space="preserve">DIA 06 </w:t>
      </w:r>
      <w:br/>
      <w:r>
        <w:rPr>
          <w:b w:val="1"/>
          <w:bCs w:val="1"/>
        </w:rPr>
        <w:t xml:space="preserve">MYKONOS - SANTORINI.</w:t>
      </w:r>
      <w:br/>
      <w:r>
        <w:rPr>
          <w:b w:val="1"/>
          <w:bCs w:val="1"/>
        </w:rPr>
        <w:t xml:space="preserve">Desayuno.</w:t>
      </w:r>
      <w:r>
        <w:rPr/>
        <w:t xml:space="preserve"> Tiempo libre hasta la hora del traslado al puerto para embarcar y salir hacia Santorini. Llegada a Santorini, traslado al hotel. </w:t>
      </w:r>
      <w:r>
        <w:rPr>
          <w:b w:val="1"/>
          <w:bCs w:val="1"/>
        </w:rPr>
        <w:t xml:space="preserve">Alojamiento.</w:t>
      </w:r>
    </w:p>
    <w:p>
      <w:pPr/>
      <w:br/>
      <w:r>
        <w:rPr>
          <w:b w:val="1"/>
          <w:bCs w:val="1"/>
        </w:rPr>
        <w:t xml:space="preserve">DIA 07 </w:t>
      </w:r>
      <w:br/>
      <w:r>
        <w:rPr>
          <w:b w:val="1"/>
          <w:bCs w:val="1"/>
        </w:rPr>
        <w:t xml:space="preserve">SANTORINI – CRUCERO.</w:t>
      </w:r>
      <w:br/>
      <w:r>
        <w:rPr>
          <w:b w:val="1"/>
          <w:bCs w:val="1"/>
        </w:rPr>
        <w:t xml:space="preserve">Desayuno. </w:t>
      </w:r>
      <w:r>
        <w:rPr/>
        <w:t xml:space="preserve">Salida para comenzar el Crucero de cinco horas, disfrutando de los tesoros ocultos de una de las islas más fotografiadas de la Cícladas, Santorini. Playas, aguas termales y todo este único ambiente mediterráneo acompañado con un menú de cocina griega. Una emocionante y romántica aventura. </w:t>
      </w:r>
      <w:r>
        <w:rPr>
          <w:b w:val="1"/>
          <w:bCs w:val="1"/>
        </w:rPr>
        <w:t xml:space="preserve">Alojamiento.</w:t>
      </w:r>
    </w:p>
    <w:p>
      <w:pPr/>
      <w:br/>
      <w:r>
        <w:rPr>
          <w:b w:val="1"/>
          <w:bCs w:val="1"/>
        </w:rPr>
        <w:t xml:space="preserve">DIA 08 </w:t>
      </w:r>
      <w:br/>
      <w:r>
        <w:rPr>
          <w:b w:val="1"/>
          <w:bCs w:val="1"/>
        </w:rPr>
        <w:t xml:space="preserve">SANTORINI.</w:t>
      </w:r>
      <w:br/>
      <w:r>
        <w:rPr>
          <w:b w:val="1"/>
          <w:bCs w:val="1"/>
        </w:rPr>
        <w:t xml:space="preserve">Desayuno.</w:t>
      </w:r>
      <w:r>
        <w:rPr/>
        <w:t xml:space="preserve"> Día libre para disfrutar de la isla. </w:t>
      </w:r>
      <w:r>
        <w:rPr>
          <w:b w:val="1"/>
          <w:bCs w:val="1"/>
        </w:rPr>
        <w:t xml:space="preserve">Alojamiento.</w:t>
      </w:r>
      <w:br/>
      <w:br/>
      <w:r>
        <w:rPr>
          <w:b w:val="1"/>
          <w:bCs w:val="1"/>
        </w:rPr>
        <w:t xml:space="preserve">DIA 09 </w:t>
      </w:r>
      <w:br/>
      <w:r>
        <w:rPr>
          <w:b w:val="1"/>
          <w:bCs w:val="1"/>
        </w:rPr>
        <w:t xml:space="preserve">SANTORINI - ATENAS.</w:t>
      </w:r>
      <w:br/>
      <w:r>
        <w:rPr>
          <w:b w:val="1"/>
          <w:bCs w:val="1"/>
        </w:rPr>
        <w:t xml:space="preserve">Desayuno.</w:t>
      </w:r>
      <w:r>
        <w:rPr/>
        <w:t xml:space="preserve"> Tiempo libre hasta realizar el traslado al puerto para embarcar y regresar a Atenas. Llegada al puerto de Pireo, traslado al hotel de Atenas. Alojamiento.</w:t>
      </w:r>
    </w:p>
    <w:p>
      <w:pPr/>
      <w:br/>
      <w:r>
        <w:rPr>
          <w:b w:val="1"/>
          <w:bCs w:val="1"/>
        </w:rPr>
        <w:t xml:space="preserve">DIA 10 </w:t>
      </w:r>
      <w:br/>
      <w:r>
        <w:rPr>
          <w:b w:val="1"/>
          <w:bCs w:val="1"/>
        </w:rPr>
        <w:t xml:space="preserve">ATENAS.</w:t>
      </w:r>
      <w:br/>
      <w:r>
        <w:rPr>
          <w:b w:val="1"/>
          <w:bCs w:val="1"/>
        </w:rPr>
        <w:t xml:space="preserve">Desayuno. </w:t>
      </w:r>
      <w:r>
        <w:rPr/>
        <w:t xml:space="preserve">A la hora acordada traslado al aeropuerto. Fin de su estancia en Grecia.</w:t>
      </w:r>
    </w:p>
    <w:p>
      <w:pPr/>
      <w:r>
        <w:rPr/>
        <w:t xml:space="preserve"> </w:t>
      </w:r>
    </w:p>
    <w:p>
      <w:pP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15/10</w:t>
            </w:r>
          </w:p>
        </w:tc>
        <w:tc>
          <w:tcPr>
            <w:tcW w:w="7800" w:type="dxa"/>
            <w:noWrap/>
          </w:tcPr>
          <w:p>
            <w:pPr>
              <w:jc w:val="start"/>
              <w:spacing w:before="0" w:after="0"/>
            </w:pPr>
            <w:r>
              <w:rPr/>
              <w:t xml:space="preserve">EUR 4.567</w:t>
            </w:r>
          </w:p>
        </w:tc>
        <w:tc>
          <w:tcPr>
            <w:tcW w:w="7800" w:type="dxa"/>
            <w:noWrap/>
          </w:tcPr>
          <w:p>
            <w:pPr>
              <w:jc w:val="start"/>
              <w:spacing w:before="0" w:after="0"/>
            </w:pPr>
            <w:r>
              <w:rPr/>
              <w:t xml:space="preserve">EUR 2.800</w:t>
            </w:r>
          </w:p>
        </w:tc>
        <w:tc>
          <w:tcPr>
            <w:tcW w:w="7800" w:type="dxa"/>
            <w:noWrap/>
          </w:tcPr>
          <w:p>
            <w:pPr>
              <w:jc w:val="start"/>
              <w:spacing w:before="0" w:after="0"/>
            </w:pPr>
            <w:r>
              <w:rPr/>
              <w:t xml:space="preserve">EUR 2.387</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5.333</w:t>
            </w:r>
          </w:p>
        </w:tc>
        <w:tc>
          <w:tcPr>
            <w:tcW w:w="7800" w:type="dxa"/>
            <w:noWrap/>
          </w:tcPr>
          <w:p>
            <w:pPr>
              <w:jc w:val="start"/>
              <w:spacing w:before="0" w:after="0"/>
            </w:pPr>
            <w:r>
              <w:rPr/>
              <w:t xml:space="preserve">EUR 3.333</w:t>
            </w:r>
          </w:p>
        </w:tc>
        <w:tc>
          <w:tcPr>
            <w:tcW w:w="7800" w:type="dxa"/>
            <w:noWrap/>
          </w:tcPr>
          <w:p>
            <w:pPr>
              <w:jc w:val="start"/>
              <w:spacing w:before="0" w:after="0"/>
            </w:pPr>
            <w:r>
              <w:rPr/>
              <w:t xml:space="preserve">EUR 2.800</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EUR 6.200</w:t>
            </w:r>
          </w:p>
        </w:tc>
        <w:tc>
          <w:tcPr>
            <w:tcW w:w="7800" w:type="dxa"/>
            <w:noWrap/>
          </w:tcPr>
          <w:p>
            <w:pPr>
              <w:jc w:val="start"/>
              <w:spacing w:before="0" w:after="0"/>
            </w:pPr>
            <w:r>
              <w:rPr/>
              <w:t xml:space="preserve">EUR 3.627</w:t>
            </w:r>
          </w:p>
        </w:tc>
        <w:tc>
          <w:tcPr>
            <w:tcW w:w="7800" w:type="dxa"/>
            <w:noWrap/>
          </w:tcPr>
          <w:p>
            <w:pPr>
              <w:jc w:val="start"/>
              <w:spacing w:before="0" w:after="0"/>
            </w:pPr>
            <w:r>
              <w:rPr/>
              <w:t xml:space="preserve">EUR 3.120</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3.373</w:t>
            </w:r>
          </w:p>
        </w:tc>
        <w:tc>
          <w:tcPr>
            <w:tcW w:w="7800" w:type="dxa"/>
            <w:noWrap/>
          </w:tcPr>
          <w:p>
            <w:pPr>
              <w:jc w:val="start"/>
              <w:spacing w:before="0" w:after="0"/>
            </w:pPr>
            <w:r>
              <w:rPr/>
              <w:t xml:space="preserve">EUR 2.067</w:t>
            </w:r>
          </w:p>
        </w:tc>
        <w:tc>
          <w:tcPr>
            <w:tcW w:w="7800" w:type="dxa"/>
            <w:noWrap/>
          </w:tcPr>
          <w:p>
            <w:pPr>
              <w:jc w:val="start"/>
              <w:spacing w:before="0" w:after="0"/>
            </w:pPr>
            <w:r>
              <w:rPr/>
              <w:t xml:space="preserve">EUR 1.773</w:t>
            </w:r>
          </w:p>
        </w:tc>
      </w:tr>
      <w:tr>
        <w:trPr/>
        <w:tc>
          <w:tcPr>
            <w:tcW w:w="7800" w:type="dxa"/>
            <w:noWrap/>
          </w:tcPr>
          <w:p>
            <w:pPr>
              <w:jc w:val="start"/>
              <w:spacing w:before="0" w:after="0"/>
            </w:pPr>
            <w:r>
              <w:rPr/>
              <w:t xml:space="preserve">01/06 – 17/07</w:t>
            </w:r>
          </w:p>
        </w:tc>
        <w:tc>
          <w:tcPr>
            <w:tcW w:w="7800" w:type="dxa"/>
            <w:noWrap/>
          </w:tcPr>
          <w:p>
            <w:pPr>
              <w:jc w:val="start"/>
              <w:spacing w:before="0" w:after="0"/>
            </w:pPr>
            <w:r>
              <w:rPr/>
              <w:t xml:space="preserve">21/09 – 15/10</w:t>
            </w:r>
          </w:p>
        </w:tc>
        <w:tc>
          <w:tcPr>
            <w:tcW w:w="7800" w:type="dxa"/>
            <w:noWrap/>
          </w:tcPr>
          <w:p>
            <w:pPr>
              <w:jc w:val="start"/>
              <w:spacing w:before="0" w:after="0"/>
            </w:pPr>
            <w:r>
              <w:rPr/>
              <w:t xml:space="preserve">EUR 4.200</w:t>
            </w:r>
          </w:p>
        </w:tc>
        <w:tc>
          <w:tcPr>
            <w:tcW w:w="7800" w:type="dxa"/>
            <w:noWrap/>
          </w:tcPr>
          <w:p>
            <w:pPr>
              <w:jc w:val="start"/>
              <w:spacing w:before="0" w:after="0"/>
            </w:pPr>
            <w:r>
              <w:rPr/>
              <w:t xml:space="preserve">EUR 2.427</w:t>
            </w:r>
          </w:p>
        </w:tc>
        <w:tc>
          <w:tcPr>
            <w:tcW w:w="7800" w:type="dxa"/>
            <w:noWrap/>
          </w:tcPr>
          <w:p>
            <w:pPr>
              <w:jc w:val="start"/>
              <w:spacing w:before="0" w:after="0"/>
            </w:pPr>
            <w:r>
              <w:rPr/>
              <w:t xml:space="preserve">EUR 2.200</w:t>
            </w:r>
          </w:p>
        </w:tc>
      </w:tr>
      <w:tr>
        <w:trPr/>
        <w:tc>
          <w:tcPr>
            <w:tcW w:w="7800" w:type="dxa"/>
            <w:gridSpan w:val="2"/>
            <w:noWrap/>
          </w:tcPr>
          <w:p>
            <w:pPr>
              <w:jc w:val="start"/>
              <w:spacing w:before="0" w:after="0"/>
            </w:pPr>
            <w:r>
              <w:rPr/>
              <w:t xml:space="preserve">18/07 – 20/09</w:t>
            </w:r>
          </w:p>
        </w:tc>
        <w:tc>
          <w:tcPr>
            <w:tcW w:w="7800" w:type="dxa"/>
            <w:noWrap/>
          </w:tcPr>
          <w:p>
            <w:pPr>
              <w:jc w:val="start"/>
              <w:spacing w:before="0" w:after="0"/>
            </w:pPr>
            <w:r>
              <w:rPr/>
              <w:t xml:space="preserve">EUR 4.600</w:t>
            </w:r>
          </w:p>
        </w:tc>
        <w:tc>
          <w:tcPr>
            <w:tcW w:w="7800" w:type="dxa"/>
            <w:noWrap/>
          </w:tcPr>
          <w:p>
            <w:pPr>
              <w:jc w:val="start"/>
              <w:spacing w:before="0" w:after="0"/>
            </w:pPr>
            <w:r>
              <w:rPr/>
              <w:t xml:space="preserve">EUR 2.600</w:t>
            </w:r>
          </w:p>
        </w:tc>
        <w:tc>
          <w:tcPr>
            <w:tcW w:w="7800" w:type="dxa"/>
            <w:noWrap/>
          </w:tcPr>
          <w:p>
            <w:pPr>
              <w:jc w:val="start"/>
              <w:spacing w:before="0" w:after="0"/>
            </w:pPr>
            <w:r>
              <w:rPr/>
              <w:t xml:space="preserve">EUR 2.360</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2.880</w:t>
            </w:r>
          </w:p>
        </w:tc>
        <w:tc>
          <w:tcPr>
            <w:tcW w:w="7800" w:type="dxa"/>
            <w:noWrap/>
          </w:tcPr>
          <w:p>
            <w:pPr>
              <w:jc w:val="start"/>
              <w:spacing w:before="0" w:after="0"/>
            </w:pPr>
            <w:r>
              <w:rPr/>
              <w:t xml:space="preserve">EUR 1.853</w:t>
            </w:r>
          </w:p>
        </w:tc>
        <w:tc>
          <w:tcPr>
            <w:tcW w:w="7800" w:type="dxa"/>
            <w:noWrap/>
          </w:tcPr>
          <w:p>
            <w:pPr>
              <w:jc w:val="start"/>
              <w:spacing w:before="0" w:after="0"/>
            </w:pPr>
            <w:r>
              <w:rPr/>
              <w:t xml:space="preserve">EUR 1.660</w:t>
            </w:r>
          </w:p>
        </w:tc>
      </w:tr>
      <w:tr>
        <w:trPr/>
        <w:tc>
          <w:tcPr>
            <w:tcW w:w="7800" w:type="dxa"/>
            <w:noWrap/>
          </w:tcPr>
          <w:p>
            <w:pPr>
              <w:jc w:val="start"/>
              <w:spacing w:before="0" w:after="0"/>
            </w:pPr>
            <w:r>
              <w:rPr/>
              <w:t xml:space="preserve">01/06 – 15/07</w:t>
            </w:r>
          </w:p>
        </w:tc>
        <w:tc>
          <w:tcPr>
            <w:tcW w:w="7800" w:type="dxa"/>
            <w:noWrap/>
          </w:tcPr>
          <w:p>
            <w:pPr>
              <w:jc w:val="start"/>
              <w:spacing w:before="0" w:after="0"/>
            </w:pPr>
            <w:r>
              <w:rPr/>
              <w:t xml:space="preserve">01/09 – 10/10</w:t>
            </w:r>
          </w:p>
        </w:tc>
        <w:tc>
          <w:tcPr>
            <w:tcW w:w="7800" w:type="dxa"/>
            <w:noWrap/>
          </w:tcPr>
          <w:p>
            <w:pPr>
              <w:jc w:val="start"/>
              <w:spacing w:before="0" w:after="0"/>
            </w:pPr>
            <w:r>
              <w:rPr/>
              <w:t xml:space="preserve">EUR 3.400</w:t>
            </w:r>
          </w:p>
        </w:tc>
        <w:tc>
          <w:tcPr>
            <w:tcW w:w="7800" w:type="dxa"/>
            <w:noWrap/>
          </w:tcPr>
          <w:p>
            <w:pPr>
              <w:jc w:val="start"/>
              <w:spacing w:before="0" w:after="0"/>
            </w:pPr>
            <w:r>
              <w:rPr/>
              <w:t xml:space="preserve">EUR 2.107</w:t>
            </w:r>
          </w:p>
        </w:tc>
        <w:tc>
          <w:tcPr>
            <w:tcW w:w="7800" w:type="dxa"/>
            <w:noWrap/>
          </w:tcPr>
          <w:p>
            <w:pPr>
              <w:jc w:val="start"/>
              <w:spacing w:before="0" w:after="0"/>
            </w:pPr>
            <w:r>
              <w:rPr/>
              <w:t xml:space="preserve">EUR 1.853</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EUR 3.680</w:t>
            </w:r>
          </w:p>
        </w:tc>
        <w:tc>
          <w:tcPr>
            <w:tcW w:w="7800" w:type="dxa"/>
            <w:noWrap/>
          </w:tcPr>
          <w:p>
            <w:pPr>
              <w:jc w:val="start"/>
              <w:spacing w:before="0" w:after="0"/>
            </w:pPr>
            <w:r>
              <w:rPr/>
              <w:t xml:space="preserve">EUR 2.213</w:t>
            </w:r>
          </w:p>
        </w:tc>
        <w:tc>
          <w:tcPr>
            <w:tcW w:w="7800" w:type="dxa"/>
            <w:noWrap/>
          </w:tcPr>
          <w:p>
            <w:pPr>
              <w:jc w:val="start"/>
              <w:spacing w:before="0" w:after="0"/>
            </w:pPr>
            <w:r>
              <w:rPr/>
              <w:t xml:space="preserve">EUR 1.913</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2.220</w:t>
            </w:r>
          </w:p>
        </w:tc>
        <w:tc>
          <w:tcPr>
            <w:tcW w:w="7800" w:type="dxa"/>
            <w:noWrap/>
          </w:tcPr>
          <w:p>
            <w:pPr>
              <w:jc w:val="start"/>
              <w:spacing w:before="0" w:after="0"/>
            </w:pPr>
            <w:r>
              <w:rPr/>
              <w:t xml:space="preserve">EUR 1.487</w:t>
            </w:r>
          </w:p>
        </w:tc>
        <w:tc>
          <w:tcPr>
            <w:tcW w:w="7800" w:type="dxa"/>
            <w:noWrap/>
          </w:tcPr>
          <w:p>
            <w:pPr>
              <w:jc w:val="start"/>
              <w:spacing w:before="0" w:after="0"/>
            </w:pPr>
            <w:r>
              <w:rPr/>
              <w:t xml:space="preserve">EUR 1.333</w:t>
            </w:r>
          </w:p>
        </w:tc>
      </w:tr>
      <w:tr>
        <w:trPr/>
        <w:tc>
          <w:tcPr>
            <w:tcW w:w="7800" w:type="dxa"/>
            <w:noWrap/>
          </w:tcPr>
          <w:p>
            <w:pPr>
              <w:jc w:val="start"/>
              <w:spacing w:before="0" w:after="0"/>
            </w:pPr>
            <w:r>
              <w:rPr/>
              <w:t xml:space="preserve">01/06 - 30/06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EUR 2.467</w:t>
            </w:r>
          </w:p>
        </w:tc>
        <w:tc>
          <w:tcPr>
            <w:tcW w:w="7800" w:type="dxa"/>
            <w:noWrap/>
          </w:tcPr>
          <w:p>
            <w:pPr>
              <w:jc w:val="start"/>
              <w:spacing w:before="0" w:after="0"/>
            </w:pPr>
            <w:r>
              <w:rPr/>
              <w:t xml:space="preserve">EUR 1.627</w:t>
            </w:r>
          </w:p>
        </w:tc>
        <w:tc>
          <w:tcPr>
            <w:tcW w:w="7800" w:type="dxa"/>
            <w:noWrap/>
          </w:tcPr>
          <w:p>
            <w:pPr>
              <w:jc w:val="start"/>
              <w:spacing w:before="0" w:after="0"/>
            </w:pPr>
            <w:r>
              <w:rPr/>
              <w:t xml:space="preserve">EUR 1.467</w:t>
            </w:r>
          </w:p>
        </w:tc>
      </w:tr>
      <w:tr>
        <w:trPr/>
        <w:tc>
          <w:tcPr>
            <w:tcW w:w="7800" w:type="dxa"/>
            <w:noWrap/>
          </w:tcPr>
          <w:p>
            <w:pPr>
              <w:jc w:val="start"/>
              <w:spacing w:before="0" w:after="0"/>
            </w:pPr>
            <w:r>
              <w:rPr/>
              <w:t xml:space="preserve">01/07 - 20/07</w:t>
            </w:r>
          </w:p>
        </w:tc>
        <w:tc>
          <w:tcPr>
            <w:tcW w:w="7800" w:type="dxa"/>
            <w:noWrap/>
          </w:tcPr>
          <w:p>
            <w:pPr>
              <w:jc w:val="start"/>
              <w:spacing w:before="0" w:after="0"/>
            </w:pPr>
            <w:r>
              <w:rPr/>
              <w:t xml:space="preserve">27/08 - 15/09</w:t>
            </w:r>
          </w:p>
        </w:tc>
        <w:tc>
          <w:tcPr>
            <w:tcW w:w="7800" w:type="dxa"/>
            <w:noWrap/>
          </w:tcPr>
          <w:p>
            <w:pPr>
              <w:jc w:val="start"/>
              <w:spacing w:before="0" w:after="0"/>
            </w:pPr>
            <w:r>
              <w:rPr/>
              <w:t xml:space="preserve">EUR 2.813</w:t>
            </w:r>
          </w:p>
        </w:tc>
        <w:tc>
          <w:tcPr>
            <w:tcW w:w="7800" w:type="dxa"/>
            <w:noWrap/>
          </w:tcPr>
          <w:p>
            <w:pPr>
              <w:jc w:val="start"/>
              <w:spacing w:before="0" w:after="0"/>
            </w:pPr>
            <w:r>
              <w:rPr/>
              <w:t xml:space="preserve">EUR 1.760</w:t>
            </w:r>
          </w:p>
        </w:tc>
        <w:tc>
          <w:tcPr>
            <w:tcW w:w="7800" w:type="dxa"/>
            <w:noWrap/>
          </w:tcPr>
          <w:p>
            <w:pPr>
              <w:jc w:val="start"/>
              <w:spacing w:before="0" w:after="0"/>
            </w:pPr>
            <w:r>
              <w:rPr/>
              <w:t xml:space="preserve">EUR 1.613</w:t>
            </w:r>
          </w:p>
        </w:tc>
      </w:tr>
      <w:tr>
        <w:trPr/>
        <w:tc>
          <w:tcPr>
            <w:tcW w:w="7800" w:type="dxa"/>
            <w:gridSpan w:val="2"/>
            <w:noWrap/>
          </w:tcPr>
          <w:p>
            <w:pPr>
              <w:jc w:val="start"/>
              <w:spacing w:before="0" w:after="0"/>
            </w:pPr>
            <w:r>
              <w:rPr/>
              <w:t xml:space="preserve">21/07 - 26/08</w:t>
            </w:r>
          </w:p>
        </w:tc>
        <w:tc>
          <w:tcPr>
            <w:tcW w:w="7800" w:type="dxa"/>
            <w:noWrap/>
          </w:tcPr>
          <w:p>
            <w:pPr>
              <w:jc w:val="start"/>
              <w:spacing w:before="0" w:after="0"/>
            </w:pPr>
            <w:r>
              <w:rPr/>
              <w:t xml:space="preserve">EUR 3.067</w:t>
            </w:r>
          </w:p>
        </w:tc>
        <w:tc>
          <w:tcPr>
            <w:tcW w:w="7800" w:type="dxa"/>
            <w:noWrap/>
          </w:tcPr>
          <w:p>
            <w:pPr>
              <w:jc w:val="start"/>
              <w:spacing w:before="0" w:after="0"/>
            </w:pPr>
            <w:r>
              <w:rPr/>
              <w:t xml:space="preserve">EUR 1.880</w:t>
            </w:r>
          </w:p>
        </w:tc>
        <w:tc>
          <w:tcPr>
            <w:tcW w:w="7800" w:type="dxa"/>
            <w:noWrap/>
          </w:tcPr>
          <w:p>
            <w:pPr>
              <w:jc w:val="start"/>
              <w:spacing w:before="0" w:after="0"/>
            </w:pPr>
            <w:r>
              <w:rPr/>
              <w:t xml:space="preserve">EUR 1.693</w:t>
            </w:r>
          </w:p>
        </w:tc>
      </w:tr>
      <w:tr>
        <w:trPr/>
        <w:tc>
          <w:tcPr>
            <w:tcW w:w="7800" w:type="dxa"/>
            <w:gridSpan w:val="5"/>
            <w:noWrap/>
          </w:tcPr>
          <w:p>
            <w:pPr>
              <w:jc w:val="start"/>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EXCURSIONES OPCIONALES</w:t>
            </w:r>
          </w:p>
          <w:p>
            <w:pPr>
              <w:jc w:val="start"/>
              <w:spacing w:before="0" w:after="0"/>
            </w:pPr>
            <w:r>
              <w:rPr/>
              <w:t xml:space="preserve">PRECIO POR PERSONA EN EUROS</w:t>
            </w:r>
          </w:p>
        </w:tc>
      </w:tr>
      <w:tr>
        <w:trPr/>
        <w:tc>
          <w:tcPr>
            <w:tcW w:w="7800" w:type="dxa"/>
            <w:noWrap/>
          </w:tcPr>
          <w:p>
            <w:pPr>
              <w:jc w:val="start"/>
              <w:spacing w:before="0" w:after="0"/>
            </w:pPr>
            <w:r>
              <w:rPr>
                <w:b w:val="1"/>
                <w:bCs w:val="1"/>
              </w:rPr>
              <w:t xml:space="preserve">*Mykonos: Delos-Reñía Sailing Cruise:</w:t>
            </w:r>
            <w:r>
              <w:rPr/>
              <w:t xml:space="preserve"> Crucero de 7 horas, con traslados y almuerzo incluido (no incluido la entrada en Delos y toallas)</w:t>
            </w:r>
          </w:p>
        </w:tc>
        <w:tc>
          <w:tcPr>
            <w:tcW w:w="7800" w:type="dxa"/>
            <w:noWrap/>
          </w:tcPr>
          <w:p>
            <w:pPr>
              <w:jc w:val="start"/>
              <w:spacing w:before="0" w:after="0"/>
            </w:pPr>
            <w:r>
              <w:rPr>
                <w:b w:val="1"/>
                <w:bCs w:val="1"/>
              </w:rPr>
              <w:t xml:space="preserve">169 €</w:t>
            </w:r>
          </w:p>
          <w:p>
            <w:pPr>
              <w:jc w:val="start"/>
              <w:spacing w:before="0" w:after="0"/>
            </w:pPr>
            <w:r>
              <w:rPr>
                <w:b w:val="1"/>
                <w:bCs w:val="1"/>
              </w:rPr>
              <w:t xml:space="preserve">POR PAX</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78 €</w:t>
            </w:r>
          </w:p>
          <w:p>
            <w:pPr>
              <w:jc w:val="start"/>
              <w:spacing w:before="0" w:after="0"/>
            </w:pP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SANTORINI</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Hotel Majestic o Similar</w:t>
            </w:r>
          </w:p>
        </w:tc>
      </w:tr>
      <w:tr>
        <w:trPr/>
        <w:tc>
          <w:tcPr>
            <w:tcW w:w="7800" w:type="dxa"/>
            <w:gridSpan w:val="5"/>
            <w:noWrap/>
          </w:tcPr>
          <w:p>
            <w:pPr>
              <w:jc w:val="start"/>
              <w:spacing w:before="0" w:after="0"/>
            </w:pPr>
            <w:r>
              <w:rPr>
                <w:b w:val="1"/>
                <w:bCs w:val="1"/>
              </w:rPr>
              <w:t xml:space="preserve">HOTELES EN MYKONOS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Olia o Similar</w:t>
            </w:r>
          </w:p>
        </w:tc>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Hotel Myconian Ambassador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3 noches en Atenas en régimen de alojamiento y desayuno.</w:t>
      </w:r>
    </w:p>
    <w:p>
      <w:pPr>
        <w:numPr>
          <w:ilvl w:val="1"/>
          <w:numId w:val="2"/>
        </w:numPr>
      </w:pPr>
      <w:r>
        <w:rPr/>
        <w:t xml:space="preserve">3 noches en Mykonos en régimen de alojamiento y desayuno.</w:t>
      </w:r>
    </w:p>
    <w:p>
      <w:pPr>
        <w:numPr>
          <w:ilvl w:val="1"/>
          <w:numId w:val="2"/>
        </w:numPr>
      </w:pPr>
      <w:r>
        <w:rPr/>
        <w:t xml:space="preserve">3 noches en Santorini en régimen de alojamiento y desayuno.</w:t>
      </w:r>
    </w:p>
    <w:p>
      <w:pPr>
        <w:numPr>
          <w:ilvl w:val="1"/>
          <w:numId w:val="2"/>
        </w:numPr>
      </w:pPr>
      <w:r>
        <w:rPr/>
        <w:t xml:space="preserve">Visita 1/2 Día: panorámica de Atenas y visita al recinto de Acrópolis, con guía oficial en español y entradas.</w:t>
      </w:r>
    </w:p>
    <w:p>
      <w:pPr>
        <w:numPr>
          <w:ilvl w:val="1"/>
          <w:numId w:val="2"/>
        </w:numPr>
      </w:pPr>
      <w:r>
        <w:rPr/>
        <w:t xml:space="preserve">Red Cruise (5 horas) - Dos opciones: Morning o Puesta del Sol con traslados, comida y bebidas a bordo.</w:t>
      </w:r>
    </w:p>
    <w:p>
      <w:pPr>
        <w:numPr>
          <w:ilvl w:val="1"/>
          <w:numId w:val="2"/>
        </w:numPr>
      </w:pPr>
      <w:r>
        <w:rPr/>
        <w:t xml:space="preserve">Ferry PIREO/MYKONOS yamp; SANTORINI/PIREO en clase económica numerada.</w:t>
      </w:r>
    </w:p>
    <w:p>
      <w:pPr>
        <w:numPr>
          <w:ilvl w:val="1"/>
          <w:numId w:val="2"/>
        </w:numPr>
      </w:pPr>
      <w:r>
        <w:rPr/>
        <w:t xml:space="preserve">Barco rápido MYKONOS/SANTORINI en clase económica numerada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E3C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ABF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2025-05-09T14:51:28+00:00</dcterms:created>
  <dcterms:modified xsi:type="dcterms:W3CDTF">2025-05-09T14:51:28+00:00</dcterms:modified>
</cp:coreProperties>
</file>

<file path=docProps/custom.xml><?xml version="1.0" encoding="utf-8"?>
<Properties xmlns="http://schemas.openxmlformats.org/officeDocument/2006/custom-properties" xmlns:vt="http://schemas.openxmlformats.org/officeDocument/2006/docPropsVTypes"/>
</file>