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GRECIA FANTÁSTICA                    </w:t>
      </w:r>
    </w:p>
    <w:p>
      <w:pPr/>
      <w:r>
        <w:rPr>
          <w:rFonts w:ascii="Arial" w:hAnsi="Arial" w:eastAsia="Arial" w:cs="Arial"/>
          <w:color w:val="light"/>
          <w:sz w:val="22"/>
          <w:szCs w:val="22"/>
          <w:b w:val="0"/>
          <w:bCs w:val="0"/>
        </w:rPr>
        <w:t xml:space="preserve">MTC - 18156</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$600</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Delfos, </w:t>
      </w:r>
      <w:r>
        <w:rPr/>
        <w:t xml:space="preserve">Kalambaka,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t xml:space="preserve">SUJETO A CAMBIOS, YA SEA POR PROBLEMAS CLIMATICOS U OPERACIONALES (SIEMPRE INCLUYENDO LOS MISMOS SERVICIOS)</w:t>
      </w:r>
    </w:p>
    <w:p>
      <w:pPr/>
      <w:r>
        <w:rPr>
          <w:b w:val="1"/>
          <w:bCs w:val="1"/>
        </w:rPr>
        <w:t xml:space="preserve">DÍA 01 (MIERCOLES) ATENAS</w:t>
      </w:r>
      <w:br/>
      <w:r>
        <w:rPr/>
        <w:t xml:space="preserve">Llega al aeropuerto de Atenas y traslado al Hotel según la categoría seleccionada. Alojamiento.</w:t>
      </w:r>
    </w:p>
    <w:p>
      <w:pPr/>
      <w:r>
        <w:rPr>
          <w:b w:val="1"/>
          <w:bCs w:val="1"/>
        </w:rPr>
        <w:t xml:space="preserve">DÍA 02 (JUEVES) ATENAS – VISITA DE CIUDAD ½ DÍA.</w:t>
      </w:r>
      <w:br/>
      <w:r>
        <w:rPr/>
        <w:t xml:space="preserve">Desayuno. OPCIONAL EN INGLES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Panathinaikon, donde se celebraron los primeros Juegos Olímpicos de la era moderna. Tarde libre. Alojamiento.</w:t>
      </w:r>
    </w:p>
    <w:p>
      <w:pPr/>
      <w:r>
        <w:rPr>
          <w:b w:val="1"/>
          <w:bCs w:val="1"/>
        </w:rPr>
        <w:t xml:space="preserve">DÍA 03 (VIERNES) ATENAS – DELFOS – KALAMBAKA. </w:t>
      </w:r>
      <w:br/>
      <w:r>
        <w:rPr/>
        <w:t xml:space="preserve">Desayuno y salida para comenzar el Circuito de dos días. En el monte Parnaso se encuentra el centro sagrado de Delfos, famoso por su oráculo al Dios Apolo. Visita del recinto arqueológico y museo, en donde entre otras obras, veremos la famosa escultura de bronce “el Auriga de Delfos”. Salida hacia Kalambaka. Llegada, Cena y Alojamiento en el hotel.</w:t>
      </w:r>
    </w:p>
    <w:p>
      <w:pPr/>
      <w:r>
        <w:rPr>
          <w:b w:val="1"/>
          <w:bCs w:val="1"/>
        </w:rPr>
        <w:t xml:space="preserve">DÍA 04 (SABADO) KALAMBAKA – ATENAS</w:t>
      </w:r>
      <w:br/>
      <w:r>
        <w:rPr/>
        <w:t xml:space="preserve">Desayuno. Visita de dos de los Monasterios colgantes de Meteora, centro religioso y monástico. Regreso a Atenas pasando por Termópilas, donde veremos la estatua del Rey Espartano Leónidas.  Regreso a Atenas por la tarde. Alojamiento en el hotel</w:t>
      </w:r>
    </w:p>
    <w:p>
      <w:pPr/>
      <w:r>
        <w:rPr>
          <w:b w:val="1"/>
          <w:bCs w:val="1"/>
        </w:rPr>
        <w:t xml:space="preserve">DÍA 05 (DOMINGO) ATENAS – AEROPUERTO </w:t>
      </w:r>
      <w:br/>
      <w:r>
        <w:rPr/>
        <w:t xml:space="preserve">Desayuno. A la hora acordada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EUROS POR PERSONA </w:t>
            </w:r>
            <w:r>
              <w:rPr>
                <w:color w:val="ffffff"/>
                <w:sz w:val="21"/>
                <w:szCs w:val="21"/>
                <w:b w:val="0"/>
                <w:bCs w:val="0"/>
                <w:shd w:val="clear" w:fill="152441"/>
              </w:rPr>
              <w:t xml:space="preserve">SUJETOS A CAMBIOS SIN PREVIO AVISO Y DISPONIBILIDAD AL MOMENTO DE LA RESERVA. PRECIO BASE A PARTIR DE DOS PASAJEROS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TEMPORADA 01/05/2025 - 31/10/2025</w:t>
            </w:r>
          </w:p>
        </w:tc>
      </w:tr>
      <w:tr>
        <w:trPr/>
        <w:tc>
          <w:tcPr>
            <w:tcW w:w="7800" w:type="dxa"/>
            <w:noWrap/>
          </w:tcPr>
          <w:p>
            <w:pPr>
              <w:jc w:val="start"/>
              <w:spacing w:before="0" w:after="0"/>
            </w:pPr>
            <w:r>
              <w:rPr/>
              <w:t xml:space="preserve">CATEGORIA HOTELES</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b w:val="1"/>
                <w:bCs w:val="1"/>
              </w:rPr>
              <w:t xml:space="preserve">BÁSICO</w:t>
            </w:r>
          </w:p>
        </w:tc>
        <w:tc>
          <w:tcPr>
            <w:tcW w:w="7800" w:type="dxa"/>
            <w:noWrap/>
          </w:tcPr>
          <w:p>
            <w:pPr>
              <w:jc w:val="start"/>
              <w:spacing w:before="0" w:after="0"/>
            </w:pPr>
            <w:r>
              <w:rPr/>
              <w:t xml:space="preserve">EUR 933</w:t>
            </w:r>
          </w:p>
        </w:tc>
        <w:tc>
          <w:tcPr>
            <w:tcW w:w="7800" w:type="dxa"/>
            <w:noWrap/>
          </w:tcPr>
          <w:p>
            <w:pPr>
              <w:jc w:val="start"/>
              <w:spacing w:before="0" w:after="0"/>
            </w:pPr>
            <w:r>
              <w:rPr/>
              <w:t xml:space="preserve">EUR 633</w:t>
            </w:r>
          </w:p>
        </w:tc>
        <w:tc>
          <w:tcPr>
            <w:tcW w:w="7800" w:type="dxa"/>
            <w:noWrap/>
          </w:tcPr>
          <w:p>
            <w:pPr>
              <w:jc w:val="start"/>
              <w:spacing w:before="0" w:after="0"/>
            </w:pPr>
            <w:r>
              <w:rPr/>
              <w:t xml:space="preserve">EUR 600</w:t>
            </w:r>
          </w:p>
        </w:tc>
      </w:tr>
      <w:tr>
        <w:trPr/>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t xml:space="preserve">EUR 1.173</w:t>
            </w:r>
          </w:p>
        </w:tc>
        <w:tc>
          <w:tcPr>
            <w:tcW w:w="7800" w:type="dxa"/>
            <w:noWrap/>
          </w:tcPr>
          <w:p>
            <w:pPr>
              <w:jc w:val="start"/>
              <w:spacing w:before="0" w:after="0"/>
            </w:pPr>
            <w:r>
              <w:rPr/>
              <w:t xml:space="preserve">EUR 747</w:t>
            </w:r>
          </w:p>
        </w:tc>
        <w:tc>
          <w:tcPr>
            <w:tcW w:w="7800" w:type="dxa"/>
            <w:noWrap/>
          </w:tcPr>
          <w:p>
            <w:pPr>
              <w:jc w:val="start"/>
              <w:spacing w:before="0" w:after="0"/>
            </w:pPr>
            <w:r>
              <w:rPr/>
              <w:t xml:space="preserve">EUR 707</w:t>
            </w:r>
          </w:p>
        </w:tc>
      </w:tr>
      <w:tr>
        <w:trPr/>
        <w:tc>
          <w:tcPr>
            <w:tcW w:w="7800" w:type="dxa"/>
            <w:noWrap/>
          </w:tcPr>
          <w:p>
            <w:pPr>
              <w:jc w:val="start"/>
              <w:spacing w:before="0" w:after="0"/>
            </w:pPr>
            <w:r>
              <w:rPr>
                <w:b w:val="1"/>
                <w:bCs w:val="1"/>
              </w:rPr>
              <w:t xml:space="preserve">SUPERIOR</w:t>
            </w:r>
          </w:p>
        </w:tc>
        <w:tc>
          <w:tcPr>
            <w:tcW w:w="7800" w:type="dxa"/>
            <w:noWrap/>
          </w:tcPr>
          <w:p>
            <w:pPr>
              <w:jc w:val="start"/>
              <w:spacing w:before="0" w:after="0"/>
            </w:pPr>
            <w:r>
              <w:rPr/>
              <w:t xml:space="preserve">EUR 1.393</w:t>
            </w:r>
          </w:p>
        </w:tc>
        <w:tc>
          <w:tcPr>
            <w:tcW w:w="7800" w:type="dxa"/>
            <w:noWrap/>
          </w:tcPr>
          <w:p>
            <w:pPr>
              <w:jc w:val="start"/>
              <w:spacing w:before="0" w:after="0"/>
            </w:pPr>
            <w:r>
              <w:rPr/>
              <w:t xml:space="preserve">EUR 893</w:t>
            </w:r>
          </w:p>
        </w:tc>
        <w:tc>
          <w:tcPr>
            <w:tcW w:w="7800" w:type="dxa"/>
            <w:noWrap/>
          </w:tcPr>
          <w:p>
            <w:pPr>
              <w:jc w:val="start"/>
              <w:spacing w:before="0" w:after="0"/>
            </w:pPr>
            <w:r>
              <w:rPr/>
              <w:t xml:space="preserve">EUR 800</w:t>
            </w:r>
          </w:p>
        </w:tc>
      </w:tr>
      <w:tr>
        <w:trPr/>
        <w:tc>
          <w:tcPr>
            <w:tcW w:w="7800" w:type="dxa"/>
            <w:noWrap/>
          </w:tcPr>
          <w:p>
            <w:pPr>
              <w:jc w:val="start"/>
              <w:spacing w:before="0" w:after="0"/>
            </w:pPr>
            <w:r>
              <w:rPr>
                <w:b w:val="1"/>
                <w:bCs w:val="1"/>
              </w:rPr>
              <w:t xml:space="preserve">LUJO</w:t>
            </w:r>
          </w:p>
        </w:tc>
        <w:tc>
          <w:tcPr>
            <w:tcW w:w="7800" w:type="dxa"/>
            <w:noWrap/>
          </w:tcPr>
          <w:p>
            <w:pPr>
              <w:jc w:val="start"/>
              <w:spacing w:before="0" w:after="0"/>
            </w:pPr>
            <w:r>
              <w:rPr/>
              <w:t xml:space="preserve">EUR 1.880</w:t>
            </w:r>
          </w:p>
        </w:tc>
        <w:tc>
          <w:tcPr>
            <w:tcW w:w="7800" w:type="dxa"/>
            <w:noWrap/>
          </w:tcPr>
          <w:p>
            <w:pPr>
              <w:jc w:val="start"/>
              <w:spacing w:before="0" w:after="0"/>
            </w:pPr>
            <w:r>
              <w:rPr/>
              <w:t xml:space="preserve">EUR 1.213</w:t>
            </w:r>
          </w:p>
        </w:tc>
        <w:tc>
          <w:tcPr>
            <w:tcW w:w="7800" w:type="dxa"/>
            <w:noWrap/>
          </w:tcPr>
          <w:p>
            <w:pPr>
              <w:jc w:val="start"/>
              <w:spacing w:before="0" w:after="0"/>
            </w:pPr>
            <w:r>
              <w:rPr/>
              <w:t xml:space="preserve">EUR 1.067</w:t>
            </w:r>
          </w:p>
        </w:tc>
      </w:tr>
      <w:tr>
        <w:trPr/>
        <w:tc>
          <w:tcPr>
            <w:tcW w:w="7800" w:type="dxa"/>
            <w:gridSpan w:val="4"/>
            <w:noWrap/>
          </w:tcPr>
          <w:p>
            <w:pPr>
              <w:jc w:val="start"/>
              <w:spacing w:before="0" w:after="0"/>
            </w:pPr>
            <w:r>
              <w:rPr>
                <w:b w:val="1"/>
                <w:bCs w:val="1"/>
              </w:rPr>
              <w:t xml:space="preserve">TARIFA: </w:t>
            </w:r>
            <w:r>
              <w:rPr/>
              <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tc>
      </w:tr>
      <w:tr>
        <w:trPr/>
        <w:tc>
          <w:tcPr>
            <w:tcW w:w="7800" w:type="dxa"/>
            <w:gridSpan w:val="4"/>
            <w:noWrap/>
          </w:tcPr>
          <w:p>
            <w:pPr>
              <w:jc w:val="start"/>
              <w:spacing w:before="0" w:after="0"/>
            </w:pPr>
            <w:r>
              <w:rPr>
                <w:b w:val="1"/>
                <w:bCs w:val="1"/>
              </w:rPr>
              <w:t xml:space="preserve">TARIFA DE NIÑOS:</w:t>
            </w:r>
          </w:p>
          <w:p>
            <w:pPr>
              <w:numPr>
                <w:ilvl w:val="0"/>
                <w:numId w:val="1"/>
              </w:numPr>
            </w:pPr>
            <w:r>
              <w:rPr/>
              <w:t xml:space="preserve">0 – 1,99 años gratis.</w:t>
            </w:r>
          </w:p>
          <w:p>
            <w:pPr>
              <w:numPr>
                <w:ilvl w:val="0"/>
                <w:numId w:val="1"/>
              </w:numPr>
            </w:pPr>
            <w:r>
              <w:rPr/>
              <w:t xml:space="preserve">2 – 7,99 años aplica descuento 40% sobre el precio del adulto en Doble.</w:t>
            </w:r>
          </w:p>
          <w:p>
            <w:pPr>
              <w:jc w:val="start"/>
              <w:spacing w:before="0" w:after="0"/>
            </w:pPr>
            <w:r>
              <w:rPr/>
              <w:t xml:space="preserve">Niños compartiendo en la misma habitación con sus padres sin cama adicional (máximo dos adultos + un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HOTELES EN ATENAS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Hotel Athens Plaza o Similar</w:t>
            </w:r>
          </w:p>
        </w:tc>
      </w:tr>
      <w:tr>
        <w:trPr/>
        <w:tc>
          <w:tcPr>
            <w:tcW w:w="7800" w:type="dxa"/>
            <w:gridSpan w:val="5"/>
            <w:noWrap/>
          </w:tcPr>
          <w:p>
            <w:pPr>
              <w:jc w:val="start"/>
              <w:spacing w:before="0" w:after="0"/>
            </w:pPr>
            <w:r>
              <w:rPr>
                <w:b w:val="1"/>
                <w:bCs w:val="1"/>
              </w:rPr>
              <w:t xml:space="preserve">HOTELES EN KALAMBAKA</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Orfeas o Similar</w:t>
            </w:r>
          </w:p>
        </w:tc>
        <w:tc>
          <w:tcPr>
            <w:tcW w:w="7800" w:type="dxa"/>
            <w:gridSpan w:val="3"/>
            <w:noWrap/>
          </w:tcPr>
          <w:p>
            <w:pPr>
              <w:jc w:val="start"/>
              <w:spacing w:before="0" w:after="0"/>
            </w:pPr>
            <w:r>
              <w:rPr/>
              <w:t xml:space="preserve">Hotel Amalia o Hotel Grand Meteora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Aeropuerto – Hotel - Aeropuerto en Atenas en servicio regular.</w:t>
      </w:r>
    </w:p>
    <w:p>
      <w:pPr>
        <w:numPr>
          <w:ilvl w:val="1"/>
          <w:numId w:val="3"/>
        </w:numPr>
      </w:pPr>
      <w:r>
        <w:rPr/>
        <w:t xml:space="preserve">3 noches en Atenas en régimen de Alojamiento y desayuno.</w:t>
      </w:r>
    </w:p>
    <w:p>
      <w:pPr>
        <w:numPr>
          <w:ilvl w:val="1"/>
          <w:numId w:val="3"/>
        </w:numPr>
      </w:pPr>
      <w:r>
        <w:rPr/>
        <w:t xml:space="preserve">Circuito de dos días/una noche Delfos-Meteora en tour regular, con guía oficial en español y entradas incluidas, en hotel según categoría elegida y régimen de media pensión (bebidas no incluidas).</w:t>
      </w:r>
    </w:p>
    <w:p>
      <w:pPr>
        <w:numPr>
          <w:ilvl w:val="1"/>
          <w:numId w:val="3"/>
        </w:numPr>
      </w:pPr>
      <w:r>
        <w:rPr/>
        <w:t xml:space="preserve">Visita ½ día; panorámica de Atenas y visita al recinto de acrópolis, con guía oficial en español y entradas.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Vuelos internacionales y/o domésticos.</w:t>
      </w:r>
    </w:p>
    <w:p>
      <w:pPr>
        <w:numPr>
          <w:ilvl w:val="1"/>
          <w:numId w:val="3"/>
        </w:numPr>
      </w:pPr>
      <w:r>
        <w:rPr/>
        <w:t xml:space="preserve">Ningún servicio no especificado.</w:t>
      </w:r>
    </w:p>
    <w:p>
      <w:pPr>
        <w:numPr>
          <w:ilvl w:val="1"/>
          <w:numId w:val="3"/>
        </w:numPr>
      </w:pPr>
      <w:r>
        <w:rPr/>
        <w:t xml:space="preserve">Excursiones opcionales.</w:t>
      </w:r>
    </w:p>
    <w:p>
      <w:pPr>
        <w:numPr>
          <w:ilvl w:val="1"/>
          <w:numId w:val="3"/>
        </w:numPr>
      </w:pPr>
      <w:r>
        <w:rPr/>
        <w:t xml:space="preserve">Recargos en los hoteles por Early Check in o Late Check out.</w:t>
      </w:r>
    </w:p>
    <w:p>
      <w:pPr>
        <w:numPr>
          <w:ilvl w:val="1"/>
          <w:numId w:val="3"/>
        </w:numPr>
      </w:pPr>
      <w:r>
        <w:rPr/>
        <w:t xml:space="preserve">Propinas para guías, maleteros u otro servicio no mencionado especificamente en el incluye.</w:t>
      </w:r>
    </w:p>
    <w:p>
      <w:pPr>
        <w:numPr>
          <w:ilvl w:val="1"/>
          <w:numId w:val="3"/>
        </w:numPr>
      </w:pPr>
      <w:r>
        <w:rPr/>
        <w:t xml:space="preserve">Impuestos de resiliencia a la crisis climática según tipo de Alojamiento (Se pagan directamente en el hotel)</w:t>
      </w:r>
    </w:p>
    <w:p>
      <w:pPr>
        <w:numPr>
          <w:ilvl w:val="1"/>
          <w:numId w:val="3"/>
        </w:numPr>
      </w:pPr>
      <w:r>
        <w:rPr/>
        <w:t xml:space="preserve">Hoteles 5*: 10 EUR P/habitación, por noche.</w:t>
      </w:r>
    </w:p>
    <w:p>
      <w:pPr>
        <w:numPr>
          <w:ilvl w:val="1"/>
          <w:numId w:val="3"/>
        </w:numPr>
      </w:pPr>
      <w:r>
        <w:rPr/>
        <w:t xml:space="preserve">Hoteles 4*: 7 EUR P/habitación, por noche.</w:t>
      </w:r>
    </w:p>
    <w:p>
      <w:pPr>
        <w:numPr>
          <w:ilvl w:val="1"/>
          <w:numId w:val="3"/>
        </w:numPr>
      </w:pPr>
      <w:r>
        <w:rPr/>
        <w:t xml:space="preserve">Hoteles 3*: 3 EUR P/habitación, por noche.</w:t>
      </w:r>
    </w:p>
    <w:p>
      <w:pPr>
        <w:numPr>
          <w:ilvl w:val="1"/>
          <w:numId w:val="3"/>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07A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54569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FBC11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2025-05-09T15:58:14+00:00</dcterms:created>
  <dcterms:modified xsi:type="dcterms:W3CDTF">2025-05-09T15:58:14+00:00</dcterms:modified>
</cp:coreProperties>
</file>

<file path=docProps/custom.xml><?xml version="1.0" encoding="utf-8"?>
<Properties xmlns="http://schemas.openxmlformats.org/officeDocument/2006/custom-properties" xmlns:vt="http://schemas.openxmlformats.org/officeDocument/2006/docPropsVTypes"/>
</file>