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CONOCER ATENAS                    </w:t>
      </w:r>
    </w:p>
    <w:p>
      <w:pPr/>
      <w:r>
        <w:rPr>
          <w:rFonts w:ascii="Arial" w:hAnsi="Arial" w:eastAsia="Arial" w:cs="Arial"/>
          <w:color w:val="light"/>
          <w:sz w:val="22"/>
          <w:szCs w:val="22"/>
          <w:b w:val="0"/>
          <w:bCs w:val="0"/>
        </w:rPr>
        <w:t xml:space="preserve">MTC - 18155</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$500</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(LUNES O VIERNES) ATENAS</w:t>
      </w:r>
      <w:br/>
      <w:r>
        <w:rPr/>
        <w:t xml:space="preserve">Llegada al aeropuerto de Atenas y traslado al Hotel según la categoría seleccionada. Alojamiento.</w:t>
      </w:r>
    </w:p>
    <w:p>
      <w:pPr/>
      <w:r>
        <w:rPr>
          <w:b w:val="1"/>
          <w:bCs w:val="1"/>
        </w:rPr>
        <w:t xml:space="preserve">DÍA 02 (MARTES O SÁBADO) ATENAS – VISITA DE CIUDAD ½ DÍA.</w:t>
      </w:r>
      <w:br/>
      <w:r>
        <w:rPr/>
        <w:t xml:space="preserve">Desayuno. Salida para realizar la Visita de Ciudad ½ Día: Acrópolis + Panorámica de Atenas. El Partenón, símbolo clásico de la arquitectura, construido totalmente en mármol blanco. El Partenón es el mayor Templo erigido en honor a la diosa Atenea. Cercano al Partenón se encuentra el pequeño Templo de Erechthion con esculturas de preciosas doncellas sosteniendo el techo del porche. El tour panorámico nos lleva a la Tumba del soldado desconocido, custodiada por soldados vestidos con la tradicional vestimenta, el Parlamento y el Estadio Panathinaikon, donde se celebraron los primeros Juegos Olímpicos de la era moderna. Seguidamente iremos hacia la Biblioteca, la Academia y la Universidad, tres edificios representativos de la arquitectura del siglo XIX mezclada con la influencia clásica. Tarde libre. Alojamiento.</w:t>
      </w:r>
    </w:p>
    <w:p>
      <w:pPr/>
      <w:r>
        <w:rPr>
          <w:b w:val="1"/>
          <w:bCs w:val="1"/>
        </w:rPr>
        <w:t xml:space="preserve">DÍA 03 (MIÉRCOLES O DOMINGO) ATENAS.</w:t>
      </w:r>
      <w:br/>
      <w:r>
        <w:rPr/>
        <w:t xml:space="preserve">Desayuno. Dia libre para realizar excursiones opcionales. Alojamiento.</w:t>
      </w:r>
    </w:p>
    <w:p>
      <w:pPr/>
      <w:r>
        <w:rPr>
          <w:b w:val="1"/>
          <w:bCs w:val="1"/>
        </w:rPr>
        <w:t xml:space="preserve">DÍA 04 (JUEVES O LUNES) ATENAS</w:t>
      </w:r>
      <w:br/>
      <w:r>
        <w:rPr/>
        <w:t xml:space="preserve">Desayuno. A la hora acordada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EN EUROS POR PERSONA</w:t>
      </w:r>
      <w:r>
        <w:rPr/>
        <w:t xml:space="preserve">SUJETOS A CAMBIOS SIN PREVIO AVISO Y DISPONIBILIDAD AL MOMENTO DE LA RESERVA. PRECIO BASE A PARTIR DE DOS PASAJEROS</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TEMPORADA01/05/2025 - 31/10/2025</w:t>
            </w:r>
          </w:p>
        </w:tc>
      </w:tr>
      <w:tr>
        <w:trPr/>
        <w:tc>
          <w:tcPr>
            <w:tcW w:w="7800" w:type="dxa"/>
            <w:noWrap/>
          </w:tcPr>
          <w:p>
            <w:pPr>
              <w:jc w:val="start"/>
              <w:spacing w:before="0" w:after="0"/>
            </w:pPr>
            <w:r>
              <w:rPr/>
              <w:t xml:space="preserve">CATEGORIA HOTELES</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b w:val="1"/>
                <w:bCs w:val="1"/>
              </w:rPr>
              <w:t xml:space="preserve">BÁSICO</w:t>
            </w:r>
          </w:p>
        </w:tc>
        <w:tc>
          <w:tcPr>
            <w:tcW w:w="7800" w:type="dxa"/>
            <w:noWrap/>
          </w:tcPr>
          <w:p>
            <w:pPr>
              <w:jc w:val="start"/>
              <w:spacing w:before="0" w:after="0"/>
            </w:pPr>
            <w:r>
              <w:rPr/>
              <w:t xml:space="preserve">EUR 773</w:t>
            </w:r>
          </w:p>
        </w:tc>
        <w:tc>
          <w:tcPr>
            <w:tcW w:w="7800" w:type="dxa"/>
            <w:noWrap/>
          </w:tcPr>
          <w:p>
            <w:pPr>
              <w:jc w:val="start"/>
              <w:spacing w:before="0" w:after="0"/>
            </w:pPr>
            <w:r>
              <w:rPr/>
              <w:t xml:space="preserve">EUR 527</w:t>
            </w:r>
          </w:p>
        </w:tc>
        <w:tc>
          <w:tcPr>
            <w:tcW w:w="7800" w:type="dxa"/>
            <w:noWrap/>
          </w:tcPr>
          <w:p>
            <w:pPr>
              <w:jc w:val="start"/>
              <w:spacing w:before="0" w:after="0"/>
            </w:pPr>
            <w:r>
              <w:rPr/>
              <w:t xml:space="preserve">EUR 500</w:t>
            </w:r>
          </w:p>
        </w:tc>
      </w:tr>
      <w:tr>
        <w:trPr/>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t xml:space="preserve">EUR 973</w:t>
            </w:r>
          </w:p>
        </w:tc>
        <w:tc>
          <w:tcPr>
            <w:tcW w:w="7800" w:type="dxa"/>
            <w:noWrap/>
          </w:tcPr>
          <w:p>
            <w:pPr>
              <w:jc w:val="start"/>
              <w:spacing w:before="0" w:after="0"/>
            </w:pPr>
            <w:r>
              <w:rPr/>
              <w:t xml:space="preserve">EUR 627</w:t>
            </w:r>
          </w:p>
        </w:tc>
        <w:tc>
          <w:tcPr>
            <w:tcW w:w="7800" w:type="dxa"/>
            <w:noWrap/>
          </w:tcPr>
          <w:p>
            <w:pPr>
              <w:jc w:val="start"/>
              <w:spacing w:before="0" w:after="0"/>
            </w:pPr>
            <w:r>
              <w:rPr/>
              <w:t xml:space="preserve">EUR 580</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EUR 1.187</w:t>
            </w:r>
          </w:p>
        </w:tc>
        <w:tc>
          <w:tcPr>
            <w:tcW w:w="7800" w:type="dxa"/>
            <w:noWrap/>
          </w:tcPr>
          <w:p>
            <w:pPr>
              <w:jc w:val="start"/>
              <w:spacing w:before="0" w:after="0"/>
            </w:pPr>
            <w:r>
              <w:rPr/>
              <w:t xml:space="preserve">EUR 767</w:t>
            </w:r>
          </w:p>
        </w:tc>
        <w:tc>
          <w:tcPr>
            <w:tcW w:w="7800" w:type="dxa"/>
            <w:noWrap/>
          </w:tcPr>
          <w:p>
            <w:pPr>
              <w:jc w:val="start"/>
              <w:spacing w:before="0" w:after="0"/>
            </w:pPr>
            <w:r>
              <w:rPr/>
              <w:t xml:space="preserve">EUR 673</w:t>
            </w:r>
          </w:p>
        </w:tc>
      </w:tr>
      <w:tr>
        <w:trPr/>
        <w:tc>
          <w:tcPr>
            <w:tcW w:w="7800" w:type="dxa"/>
            <w:noWrap/>
          </w:tcPr>
          <w:p>
            <w:pPr>
              <w:jc w:val="start"/>
              <w:spacing w:before="0" w:after="0"/>
            </w:pPr>
            <w:r>
              <w:rPr>
                <w:b w:val="1"/>
                <w:bCs w:val="1"/>
              </w:rPr>
              <w:t xml:space="preserve">LUJO</w:t>
            </w:r>
          </w:p>
        </w:tc>
        <w:tc>
          <w:tcPr>
            <w:tcW w:w="7800" w:type="dxa"/>
            <w:noWrap/>
          </w:tcPr>
          <w:p>
            <w:pPr>
              <w:jc w:val="start"/>
              <w:spacing w:before="0" w:after="0"/>
            </w:pPr>
            <w:r>
              <w:rPr/>
              <w:t xml:space="preserve">EUR 1.667</w:t>
            </w:r>
          </w:p>
        </w:tc>
        <w:tc>
          <w:tcPr>
            <w:tcW w:w="7800" w:type="dxa"/>
            <w:noWrap/>
          </w:tcPr>
          <w:p>
            <w:pPr>
              <w:jc w:val="start"/>
              <w:spacing w:before="0" w:after="0"/>
            </w:pPr>
            <w:r>
              <w:rPr/>
              <w:t xml:space="preserve">EUR 1.067</w:t>
            </w:r>
          </w:p>
        </w:tc>
        <w:tc>
          <w:tcPr>
            <w:tcW w:w="7800" w:type="dxa"/>
            <w:noWrap/>
          </w:tcPr>
          <w:p>
            <w:pPr>
              <w:jc w:val="start"/>
              <w:spacing w:before="0" w:after="0"/>
            </w:pPr>
            <w:r>
              <w:rPr/>
              <w:t xml:space="preserve">EUR 940</w:t>
            </w:r>
          </w:p>
        </w:tc>
      </w:tr>
      <w:tr>
        <w:trPr/>
        <w:tc>
          <w:tcPr>
            <w:tcW w:w="7800" w:type="dxa"/>
            <w:gridSpan w:val="4"/>
            <w:noWrap/>
          </w:tcPr>
          <w:p>
            <w:pPr>
              <w:jc w:val="start"/>
              <w:spacing w:before="0" w:after="0"/>
            </w:pPr>
            <w:r>
              <w:rPr>
                <w:b w:val="1"/>
                <w:bCs w:val="1"/>
              </w:rPr>
              <w:t xml:space="preserve">TARIFA:</w:t>
            </w:r>
            <w:r>
              <w:rPr/>
              <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tc>
      </w:tr>
      <w:tr>
        <w:trPr/>
        <w:tc>
          <w:tcPr>
            <w:tcW w:w="7800" w:type="dxa"/>
            <w:gridSpan w:val="4"/>
            <w:noWrap/>
          </w:tcPr>
          <w:p>
            <w:pPr>
              <w:jc w:val="start"/>
              <w:spacing w:before="0" w:after="0"/>
            </w:pPr>
            <w:r>
              <w:rPr>
                <w:b w:val="1"/>
                <w:bCs w:val="1"/>
              </w:rPr>
              <w:t xml:space="preserve">TARIFA DE NIÑOS:</w:t>
            </w:r>
          </w:p>
          <w:p>
            <w:pPr>
              <w:numPr>
                <w:ilvl w:val="0"/>
                <w:numId w:val="1"/>
              </w:numPr>
            </w:pPr>
            <w:r>
              <w:rPr/>
              <w:t xml:space="preserve">0 – 1,99 años gratis.</w:t>
            </w:r>
          </w:p>
          <w:p>
            <w:pPr>
              <w:numPr>
                <w:ilvl w:val="0"/>
                <w:numId w:val="1"/>
              </w:numPr>
            </w:pPr>
            <w:r>
              <w:rPr/>
              <w:t xml:space="preserve">2 – 7,99 años aplica descuento 40% sobre el precio del adulto en Doble.</w:t>
            </w:r>
          </w:p>
          <w:p>
            <w:pPr>
              <w:jc w:val="start"/>
              <w:spacing w:before="0" w:after="0"/>
            </w:pPr>
            <w:r>
              <w:rPr/>
              <w:t xml:space="preserve">Niños compartiendo en la misma habitación con sus padres sin cama adicional (máximo dos adultos + un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gridSpan w:val="4"/>
            <w:noWrap/>
          </w:tcPr>
          <w:p>
            <w:pPr>
              <w:jc w:val="start"/>
              <w:spacing w:before="0" w:after="0"/>
            </w:pPr>
            <w:r>
              <w:rPr>
                <w:b w:val="1"/>
                <w:bCs w:val="1"/>
              </w:rPr>
              <w:t xml:space="preserve">VISITAS Y EXCURSIONES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Aeropuerto – Hotel - Aeropuerto en Atenas en servicio regular.</w:t>
      </w:r>
    </w:p>
    <w:p>
      <w:pPr>
        <w:numPr>
          <w:ilvl w:val="1"/>
          <w:numId w:val="3"/>
        </w:numPr>
      </w:pPr>
      <w:r>
        <w:rPr/>
        <w:t xml:space="preserve">3 noches en Atenas en régimen de Alojamiento y desayuno.</w:t>
      </w:r>
    </w:p>
    <w:p>
      <w:pPr>
        <w:numPr>
          <w:ilvl w:val="1"/>
          <w:numId w:val="3"/>
        </w:numPr>
      </w:pPr>
      <w:r>
        <w:rPr/>
        <w:t xml:space="preserve">Visita ½ día; panorámica de Atenas y visita al recinto de acrópolis, con guía oficial en español y entradas.</w:t>
      </w:r>
    </w:p>
    <w:p>
      <w:pPr>
        <w:numPr>
          <w:ilvl w:val="1"/>
          <w:numId w:val="3"/>
        </w:numPr>
      </w:pPr>
      <w:r>
        <w:rPr/>
        <w:t xml:space="preserve">Crucero 1 día con traslados y almuerzo a bordo (sin bebidas)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y/o domésticos.</w:t>
      </w:r>
    </w:p>
    <w:p>
      <w:pPr>
        <w:numPr>
          <w:ilvl w:val="1"/>
          <w:numId w:val="3"/>
        </w:numPr>
      </w:pPr>
      <w:r>
        <w:rPr/>
        <w:t xml:space="preserve">Ningún servicio no especificado.</w:t>
      </w:r>
    </w:p>
    <w:p>
      <w:pPr>
        <w:numPr>
          <w:ilvl w:val="1"/>
          <w:numId w:val="3"/>
        </w:numPr>
      </w:pPr>
      <w:r>
        <w:rPr/>
        <w:t xml:space="preserve">Excursiones opcionales.</w:t>
      </w:r>
    </w:p>
    <w:p>
      <w:pPr>
        <w:numPr>
          <w:ilvl w:val="1"/>
          <w:numId w:val="3"/>
        </w:numPr>
      </w:pPr>
      <w:r>
        <w:rPr/>
        <w:t xml:space="preserve">Recargos en los hoteles por Early Check in O Late Check out</w:t>
      </w:r>
    </w:p>
    <w:p>
      <w:pPr>
        <w:numPr>
          <w:ilvl w:val="1"/>
          <w:numId w:val="3"/>
        </w:numPr>
      </w:pPr>
      <w:r>
        <w:rPr/>
        <w:t xml:space="preserve">Propinas para guías, maleteros u otro servicio no mencionado especificamente en el incluye.</w:t>
      </w:r>
    </w:p>
    <w:p>
      <w:pPr>
        <w:numPr>
          <w:ilvl w:val="1"/>
          <w:numId w:val="3"/>
        </w:numPr>
      </w:pPr>
      <w:r>
        <w:rPr/>
        <w:t xml:space="preserve">Impuestos de resiliencia a la crisis climática según tipo de Alojamiento (Se pagan directamente en el hotel)  </w:t>
      </w:r>
    </w:p>
    <w:p>
      <w:pPr>
        <w:numPr>
          <w:ilvl w:val="1"/>
          <w:numId w:val="3"/>
        </w:numPr>
      </w:pPr>
      <w:r>
        <w:rPr/>
        <w:t xml:space="preserve">Hoteles 5*: 10 EUR P/habitación, por noche.</w:t>
      </w:r>
    </w:p>
    <w:p>
      <w:pPr>
        <w:numPr>
          <w:ilvl w:val="1"/>
          <w:numId w:val="3"/>
        </w:numPr>
      </w:pPr>
      <w:r>
        <w:rPr/>
        <w:t xml:space="preserve">Hoteles 4*: 7 EUR P/habitación, por noche.</w:t>
      </w:r>
    </w:p>
    <w:p>
      <w:pPr>
        <w:numPr>
          <w:ilvl w:val="1"/>
          <w:numId w:val="3"/>
        </w:numPr>
      </w:pPr>
      <w:r>
        <w:rPr/>
        <w:t xml:space="preserve">Hoteles 3*: 3 EUR P/habitación, por noche.  </w:t>
      </w:r>
    </w:p>
    <w:p>
      <w:pPr>
        <w:numPr>
          <w:ilvl w:val="1"/>
          <w:numId w:val="3"/>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1F8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A348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157EB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2025-05-09T15:34:58+00:00</dcterms:created>
  <dcterms:modified xsi:type="dcterms:W3CDTF">2025-05-09T15:34:58+00:00</dcterms:modified>
</cp:coreProperties>
</file>

<file path=docProps/custom.xml><?xml version="1.0" encoding="utf-8"?>
<Properties xmlns="http://schemas.openxmlformats.org/officeDocument/2006/custom-properties" xmlns:vt="http://schemas.openxmlformats.org/officeDocument/2006/docPropsVTypes"/>
</file>